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9209"/>
        <w:gridCol w:w="1241"/>
      </w:tblGrid>
      <w:tr w:rsidR="001D5B08" w:rsidRPr="004170FA" w14:paraId="73F476BB" w14:textId="77777777" w:rsidTr="00676916">
        <w:tc>
          <w:tcPr>
            <w:tcW w:w="920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AF3146" w14:textId="3A04175F" w:rsidR="001D5B08" w:rsidRPr="00397A66" w:rsidRDefault="001D5B08" w:rsidP="00676916">
            <w:pPr>
              <w:pStyle w:val="En-tte"/>
              <w:jc w:val="center"/>
              <w:rPr>
                <w:rFonts w:ascii="Modern Love Caps" w:hAnsi="Modern Love Caps"/>
                <w:color w:val="000000" w:themeColor="text1"/>
                <w:sz w:val="32"/>
                <w:szCs w:val="32"/>
              </w:rPr>
            </w:pPr>
            <w:r w:rsidRPr="00397A66">
              <w:rPr>
                <w:rFonts w:ascii="Modern Love Caps" w:hAnsi="Modern Love Caps"/>
                <w:color w:val="000000" w:themeColor="text1"/>
                <w:sz w:val="32"/>
                <w:szCs w:val="32"/>
              </w:rPr>
              <w:t>Contrôle qualité du diiode dans la Bétadine</w:t>
            </w:r>
          </w:p>
        </w:tc>
        <w:tc>
          <w:tcPr>
            <w:tcW w:w="12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D021536" w14:textId="77777777" w:rsidR="001D5B08" w:rsidRPr="00836E94" w:rsidRDefault="001D5B08" w:rsidP="00676916">
            <w:pPr>
              <w:pStyle w:val="En-tte"/>
              <w:jc w:val="center"/>
              <w:rPr>
                <w:rFonts w:asciiTheme="majorHAnsi" w:hAnsiTheme="majorHAnsi" w:cstheme="majorHAnsi"/>
                <w:color w:val="000000" w:themeColor="text1"/>
                <w:sz w:val="22"/>
                <w:szCs w:val="22"/>
              </w:rPr>
            </w:pPr>
            <w:r w:rsidRPr="00836E94">
              <w:rPr>
                <w:rFonts w:asciiTheme="majorHAnsi" w:hAnsiTheme="majorHAnsi" w:cstheme="majorHAnsi"/>
                <w:color w:val="000000" w:themeColor="text1"/>
                <w:sz w:val="22"/>
                <w:szCs w:val="22"/>
              </w:rPr>
              <w:t>Chap 5</w:t>
            </w:r>
          </w:p>
        </w:tc>
      </w:tr>
      <w:tr w:rsidR="001D5B08" w:rsidRPr="00397A66" w14:paraId="1A8294DD" w14:textId="77777777" w:rsidTr="00676916">
        <w:trPr>
          <w:trHeight w:val="530"/>
        </w:trPr>
        <w:tc>
          <w:tcPr>
            <w:tcW w:w="920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7BD408" w14:textId="77777777" w:rsidR="001D5B08" w:rsidRPr="00836E94" w:rsidRDefault="001D5B08" w:rsidP="00676916">
            <w:pPr>
              <w:pStyle w:val="En-tte"/>
              <w:rPr>
                <w:rFonts w:asciiTheme="majorHAnsi" w:hAnsiTheme="majorHAnsi" w:cstheme="majorHAnsi"/>
                <w:color w:val="000000" w:themeColor="text1"/>
              </w:rPr>
            </w:pPr>
            <w:r w:rsidRPr="00836E94">
              <w:rPr>
                <w:rFonts w:asciiTheme="majorHAnsi" w:hAnsiTheme="majorHAnsi" w:cstheme="majorHAnsi"/>
                <w:color w:val="000000" w:themeColor="text1"/>
                <w:sz w:val="22"/>
                <w:szCs w:val="22"/>
              </w:rPr>
              <w:t>Nom Prénom :</w:t>
            </w:r>
          </w:p>
        </w:tc>
        <w:tc>
          <w:tcPr>
            <w:tcW w:w="12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D81E032" w14:textId="77777777" w:rsidR="001D5B08" w:rsidRPr="00836E94" w:rsidRDefault="001D5B08" w:rsidP="00676916">
            <w:pPr>
              <w:pStyle w:val="En-tte"/>
              <w:jc w:val="center"/>
              <w:rPr>
                <w:rFonts w:asciiTheme="majorHAnsi" w:hAnsiTheme="majorHAnsi" w:cstheme="majorHAnsi"/>
                <w:color w:val="000000" w:themeColor="text1"/>
                <w:sz w:val="22"/>
                <w:szCs w:val="22"/>
              </w:rPr>
            </w:pPr>
            <w:r w:rsidRPr="00836E94">
              <w:rPr>
                <w:rFonts w:asciiTheme="majorHAnsi" w:hAnsiTheme="majorHAnsi" w:cstheme="majorHAnsi"/>
                <w:color w:val="000000" w:themeColor="text1"/>
                <w:sz w:val="22"/>
                <w:szCs w:val="22"/>
              </w:rPr>
              <w:t>1</w:t>
            </w:r>
            <w:r w:rsidRPr="00836E94">
              <w:rPr>
                <w:rFonts w:asciiTheme="majorHAnsi" w:hAnsiTheme="majorHAnsi" w:cstheme="majorHAnsi"/>
                <w:color w:val="000000" w:themeColor="text1"/>
                <w:sz w:val="22"/>
                <w:szCs w:val="22"/>
                <w:vertAlign w:val="superscript"/>
              </w:rPr>
              <w:t>ère</w:t>
            </w:r>
            <w:r w:rsidRPr="00836E94">
              <w:rPr>
                <w:rFonts w:asciiTheme="majorHAnsi" w:hAnsiTheme="majorHAnsi" w:cstheme="majorHAnsi"/>
                <w:color w:val="000000" w:themeColor="text1"/>
                <w:sz w:val="22"/>
                <w:szCs w:val="22"/>
              </w:rPr>
              <w:t xml:space="preserve"> spé</w:t>
            </w:r>
          </w:p>
        </w:tc>
      </w:tr>
    </w:tbl>
    <w:p w14:paraId="1E95ACB1" w14:textId="77777777" w:rsidR="00C71888" w:rsidRPr="00AA4E5F" w:rsidRDefault="00C71888" w:rsidP="001D5B08">
      <w:pPr>
        <w:rPr>
          <w:rFonts w:ascii="Times New Roman" w:eastAsia="Times New Roman" w:hAnsi="Times New Roman" w:cs="Times New Roman"/>
          <w:sz w:val="15"/>
          <w:szCs w:val="15"/>
          <w:lang w:eastAsia="fr-FR"/>
        </w:rPr>
      </w:pPr>
    </w:p>
    <w:tbl>
      <w:tblPr>
        <w:tblW w:w="10457" w:type="dxa"/>
        <w:tblInd w:w="-5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00"/>
        <w:gridCol w:w="864"/>
        <w:gridCol w:w="864"/>
        <w:gridCol w:w="864"/>
        <w:gridCol w:w="865"/>
      </w:tblGrid>
      <w:tr w:rsidR="00AA4E5F" w14:paraId="068617C2" w14:textId="77777777" w:rsidTr="00AA4E5F">
        <w:tc>
          <w:tcPr>
            <w:tcW w:w="7000" w:type="dxa"/>
            <w:tcBorders>
              <w:top w:val="single" w:sz="2" w:space="0" w:color="000000"/>
              <w:left w:val="single" w:sz="2" w:space="0" w:color="000000"/>
              <w:bottom w:val="single" w:sz="2" w:space="0" w:color="000000"/>
            </w:tcBorders>
            <w:shd w:val="clear" w:color="auto" w:fill="DDDDDD"/>
            <w:vAlign w:val="center"/>
          </w:tcPr>
          <w:p w14:paraId="6F0EC3EF" w14:textId="77777777" w:rsidR="00AA4E5F" w:rsidRPr="00F61F79" w:rsidRDefault="00AA4E5F" w:rsidP="00B51402">
            <w:pPr>
              <w:tabs>
                <w:tab w:val="right" w:pos="2424"/>
                <w:tab w:val="left" w:pos="2552"/>
                <w:tab w:val="left" w:pos="5103"/>
                <w:tab w:val="left" w:pos="7725"/>
                <w:tab w:val="right" w:pos="10203"/>
              </w:tabs>
              <w:rPr>
                <w:rFonts w:ascii="Calibri" w:hAnsi="Calibri"/>
                <w:sz w:val="18"/>
                <w:szCs w:val="18"/>
              </w:rPr>
            </w:pPr>
            <w:r w:rsidRPr="00F61F79">
              <w:rPr>
                <w:rFonts w:ascii="Calibri" w:hAnsi="Calibri"/>
                <w:sz w:val="18"/>
                <w:szCs w:val="18"/>
              </w:rPr>
              <w:t xml:space="preserve">COMPÉTENCES ÉVALUÉES : </w:t>
            </w:r>
          </w:p>
        </w:tc>
        <w:tc>
          <w:tcPr>
            <w:tcW w:w="864" w:type="dxa"/>
            <w:tcBorders>
              <w:top w:val="single" w:sz="2" w:space="0" w:color="000000"/>
              <w:left w:val="single" w:sz="2" w:space="0" w:color="000000"/>
              <w:bottom w:val="single" w:sz="2" w:space="0" w:color="000000"/>
            </w:tcBorders>
            <w:shd w:val="clear" w:color="auto" w:fill="DDDDDD"/>
          </w:tcPr>
          <w:p w14:paraId="247FAC86" w14:textId="21F77014" w:rsidR="00AA4E5F" w:rsidRPr="00F61F79" w:rsidRDefault="00397A66" w:rsidP="00B51402">
            <w:pPr>
              <w:pStyle w:val="Contenudetableau"/>
              <w:jc w:val="center"/>
              <w:rPr>
                <w:rFonts w:ascii="Calibri" w:hAnsi="Calibri"/>
                <w:sz w:val="30"/>
                <w:szCs w:val="30"/>
              </w:rPr>
            </w:pPr>
            <m:oMathPara>
              <m:oMath>
                <m:r>
                  <w:rPr>
                    <w:rFonts w:ascii="Cambria Math" w:hAnsi="Cambria Math"/>
                    <w:sz w:val="30"/>
                    <w:szCs w:val="30"/>
                  </w:rPr>
                  <m:t>*</m:t>
                </m:r>
              </m:oMath>
            </m:oMathPara>
          </w:p>
        </w:tc>
        <w:tc>
          <w:tcPr>
            <w:tcW w:w="864" w:type="dxa"/>
            <w:tcBorders>
              <w:top w:val="single" w:sz="2" w:space="0" w:color="000000"/>
              <w:left w:val="single" w:sz="2" w:space="0" w:color="000000"/>
              <w:bottom w:val="single" w:sz="2" w:space="0" w:color="000000"/>
            </w:tcBorders>
            <w:shd w:val="clear" w:color="auto" w:fill="DDDDDD"/>
          </w:tcPr>
          <w:p w14:paraId="510A5E88" w14:textId="65E0CDD9" w:rsidR="00AA4E5F" w:rsidRPr="00F61F79" w:rsidRDefault="00397A66" w:rsidP="00B51402">
            <w:pPr>
              <w:pStyle w:val="Contenudetableau"/>
              <w:jc w:val="center"/>
              <w:rPr>
                <w:rFonts w:ascii="Calibri" w:hAnsi="Calibri"/>
                <w:sz w:val="30"/>
                <w:szCs w:val="30"/>
              </w:rPr>
            </w:pPr>
            <m:oMathPara>
              <m:oMath>
                <m:r>
                  <w:rPr>
                    <w:rFonts w:ascii="Cambria Math" w:hAnsi="Cambria Math"/>
                    <w:sz w:val="30"/>
                    <w:szCs w:val="30"/>
                  </w:rPr>
                  <m:t>**</m:t>
                </m:r>
              </m:oMath>
            </m:oMathPara>
          </w:p>
        </w:tc>
        <w:tc>
          <w:tcPr>
            <w:tcW w:w="864" w:type="dxa"/>
            <w:tcBorders>
              <w:top w:val="single" w:sz="2" w:space="0" w:color="000000"/>
              <w:left w:val="single" w:sz="2" w:space="0" w:color="000000"/>
              <w:bottom w:val="single" w:sz="2" w:space="0" w:color="000000"/>
            </w:tcBorders>
            <w:shd w:val="clear" w:color="auto" w:fill="DDDDDD"/>
          </w:tcPr>
          <w:p w14:paraId="15D956AF" w14:textId="62F66ADD" w:rsidR="00AA4E5F" w:rsidRPr="00F61F79" w:rsidRDefault="00397A66" w:rsidP="00B51402">
            <w:pPr>
              <w:pStyle w:val="Contenudetableau"/>
              <w:jc w:val="center"/>
              <w:rPr>
                <w:rFonts w:ascii="Calibri" w:hAnsi="Calibri"/>
                <w:sz w:val="30"/>
                <w:szCs w:val="30"/>
              </w:rPr>
            </w:pPr>
            <m:oMathPara>
              <m:oMath>
                <m:r>
                  <w:rPr>
                    <w:rFonts w:ascii="Cambria Math" w:hAnsi="Cambria Math"/>
                    <w:sz w:val="30"/>
                    <w:szCs w:val="30"/>
                  </w:rPr>
                  <m:t>***</m:t>
                </m:r>
              </m:oMath>
            </m:oMathPara>
          </w:p>
        </w:tc>
        <w:tc>
          <w:tcPr>
            <w:tcW w:w="865" w:type="dxa"/>
            <w:tcBorders>
              <w:top w:val="single" w:sz="2" w:space="0" w:color="000000"/>
              <w:left w:val="single" w:sz="2" w:space="0" w:color="000000"/>
              <w:bottom w:val="single" w:sz="2" w:space="0" w:color="000000"/>
              <w:right w:val="single" w:sz="2" w:space="0" w:color="000000"/>
            </w:tcBorders>
            <w:shd w:val="clear" w:color="auto" w:fill="DDDDDD"/>
          </w:tcPr>
          <w:p w14:paraId="4DDF31CB" w14:textId="3C99449F" w:rsidR="00AA4E5F" w:rsidRPr="00F61F79" w:rsidRDefault="00397A66" w:rsidP="00B51402">
            <w:pPr>
              <w:pStyle w:val="Contenudetableau"/>
              <w:jc w:val="center"/>
              <w:rPr>
                <w:rFonts w:ascii="Calibri" w:hAnsi="Calibri"/>
                <w:sz w:val="30"/>
                <w:szCs w:val="30"/>
              </w:rPr>
            </w:pPr>
            <m:oMathPara>
              <m:oMath>
                <m:r>
                  <w:rPr>
                    <w:rFonts w:ascii="Cambria Math" w:hAnsi="Cambria Math"/>
                    <w:sz w:val="30"/>
                    <w:szCs w:val="30"/>
                  </w:rPr>
                  <m:t>****</m:t>
                </m:r>
              </m:oMath>
            </m:oMathPara>
          </w:p>
        </w:tc>
      </w:tr>
      <w:tr w:rsidR="00AA4E5F" w14:paraId="08D3CD51" w14:textId="77777777" w:rsidTr="00AA4E5F">
        <w:tc>
          <w:tcPr>
            <w:tcW w:w="7000" w:type="dxa"/>
            <w:tcBorders>
              <w:left w:val="single" w:sz="2" w:space="0" w:color="000000"/>
            </w:tcBorders>
            <w:shd w:val="clear" w:color="auto" w:fill="auto"/>
            <w:vAlign w:val="center"/>
          </w:tcPr>
          <w:p w14:paraId="614A2D3D" w14:textId="77777777" w:rsidR="00AA4E5F" w:rsidRPr="009C41C8" w:rsidRDefault="00AA4E5F" w:rsidP="00B51402">
            <w:pPr>
              <w:pStyle w:val="Sansinterligne"/>
              <w:rPr>
                <w:rFonts w:ascii="Calibri Light" w:hAnsi="Calibri Light" w:cs="Calibri Light"/>
                <w:sz w:val="16"/>
                <w:szCs w:val="16"/>
              </w:rPr>
            </w:pPr>
            <w:r>
              <w:rPr>
                <w:rFonts w:ascii="Calibri Light" w:hAnsi="Calibri Light" w:cs="Calibri Light"/>
                <w:sz w:val="16"/>
                <w:szCs w:val="16"/>
              </w:rPr>
              <w:t>Analyser un problème et concevoir un protocole</w:t>
            </w:r>
          </w:p>
        </w:tc>
        <w:tc>
          <w:tcPr>
            <w:tcW w:w="864" w:type="dxa"/>
            <w:tcBorders>
              <w:left w:val="single" w:sz="2" w:space="0" w:color="000000"/>
            </w:tcBorders>
            <w:shd w:val="clear" w:color="auto" w:fill="auto"/>
          </w:tcPr>
          <w:p w14:paraId="75B66D1A" w14:textId="77777777" w:rsidR="00AA4E5F" w:rsidRPr="009C41C8" w:rsidRDefault="00AA4E5F" w:rsidP="00B51402">
            <w:pPr>
              <w:pStyle w:val="Contenudetableau"/>
              <w:rPr>
                <w:rFonts w:ascii="Calibri" w:hAnsi="Calibri"/>
              </w:rPr>
            </w:pPr>
          </w:p>
        </w:tc>
        <w:tc>
          <w:tcPr>
            <w:tcW w:w="864" w:type="dxa"/>
            <w:tcBorders>
              <w:left w:val="single" w:sz="2" w:space="0" w:color="000000"/>
            </w:tcBorders>
            <w:shd w:val="clear" w:color="auto" w:fill="auto"/>
          </w:tcPr>
          <w:p w14:paraId="72846685" w14:textId="77777777" w:rsidR="00AA4E5F" w:rsidRPr="009C41C8" w:rsidRDefault="00AA4E5F" w:rsidP="00B51402">
            <w:pPr>
              <w:pStyle w:val="Contenudetableau"/>
              <w:rPr>
                <w:rFonts w:ascii="Calibri" w:hAnsi="Calibri"/>
              </w:rPr>
            </w:pPr>
          </w:p>
        </w:tc>
        <w:tc>
          <w:tcPr>
            <w:tcW w:w="864" w:type="dxa"/>
            <w:tcBorders>
              <w:left w:val="single" w:sz="2" w:space="0" w:color="000000"/>
            </w:tcBorders>
            <w:shd w:val="clear" w:color="auto" w:fill="auto"/>
          </w:tcPr>
          <w:p w14:paraId="5C5DE1B1" w14:textId="77777777" w:rsidR="00AA4E5F" w:rsidRPr="009C41C8" w:rsidRDefault="00AA4E5F" w:rsidP="00B51402">
            <w:pPr>
              <w:pStyle w:val="Contenudetableau"/>
              <w:rPr>
                <w:rFonts w:ascii="Calibri" w:hAnsi="Calibri"/>
              </w:rPr>
            </w:pPr>
          </w:p>
        </w:tc>
        <w:tc>
          <w:tcPr>
            <w:tcW w:w="865" w:type="dxa"/>
            <w:tcBorders>
              <w:left w:val="single" w:sz="2" w:space="0" w:color="000000"/>
              <w:right w:val="single" w:sz="2" w:space="0" w:color="000000"/>
            </w:tcBorders>
            <w:shd w:val="clear" w:color="auto" w:fill="auto"/>
          </w:tcPr>
          <w:p w14:paraId="18A83A5D" w14:textId="77777777" w:rsidR="00AA4E5F" w:rsidRPr="009C41C8" w:rsidRDefault="00AA4E5F" w:rsidP="00B51402">
            <w:pPr>
              <w:pStyle w:val="Contenudetableau"/>
              <w:rPr>
                <w:rFonts w:ascii="Calibri" w:hAnsi="Calibri"/>
              </w:rPr>
            </w:pPr>
          </w:p>
        </w:tc>
      </w:tr>
      <w:tr w:rsidR="00AA4E5F" w14:paraId="709A1D5E" w14:textId="77777777" w:rsidTr="00AA4E5F">
        <w:tc>
          <w:tcPr>
            <w:tcW w:w="7000" w:type="dxa"/>
            <w:tcBorders>
              <w:left w:val="single" w:sz="2" w:space="0" w:color="000000"/>
            </w:tcBorders>
            <w:shd w:val="clear" w:color="auto" w:fill="auto"/>
            <w:vAlign w:val="center"/>
          </w:tcPr>
          <w:p w14:paraId="40785380" w14:textId="77777777" w:rsidR="00AA4E5F" w:rsidRDefault="00AA4E5F" w:rsidP="00AA4E5F">
            <w:pPr>
              <w:pStyle w:val="Sansinterligne"/>
              <w:rPr>
                <w:rFonts w:ascii="Calibri Light" w:hAnsi="Calibri Light" w:cs="Calibri Light"/>
                <w:sz w:val="16"/>
                <w:szCs w:val="16"/>
              </w:rPr>
            </w:pPr>
            <w:r>
              <w:rPr>
                <w:rFonts w:ascii="Calibri Light" w:hAnsi="Calibri Light" w:cs="Calibri Light"/>
                <w:sz w:val="16"/>
                <w:szCs w:val="16"/>
              </w:rPr>
              <w:t>Réaliser un protocole expérimental dans le respect des consignes de sécurité et dans le respect de l’environnement</w:t>
            </w:r>
          </w:p>
        </w:tc>
        <w:tc>
          <w:tcPr>
            <w:tcW w:w="864" w:type="dxa"/>
            <w:tcBorders>
              <w:left w:val="single" w:sz="2" w:space="0" w:color="000000"/>
            </w:tcBorders>
            <w:shd w:val="clear" w:color="auto" w:fill="auto"/>
          </w:tcPr>
          <w:p w14:paraId="63281C61" w14:textId="77777777" w:rsidR="00AA4E5F" w:rsidRPr="009C41C8" w:rsidRDefault="00AA4E5F" w:rsidP="00B51402">
            <w:pPr>
              <w:pStyle w:val="Contenudetableau"/>
              <w:rPr>
                <w:rFonts w:ascii="Calibri" w:hAnsi="Calibri"/>
              </w:rPr>
            </w:pPr>
          </w:p>
        </w:tc>
        <w:tc>
          <w:tcPr>
            <w:tcW w:w="864" w:type="dxa"/>
            <w:tcBorders>
              <w:left w:val="single" w:sz="2" w:space="0" w:color="000000"/>
            </w:tcBorders>
            <w:shd w:val="clear" w:color="auto" w:fill="auto"/>
          </w:tcPr>
          <w:p w14:paraId="14D5AF00" w14:textId="77777777" w:rsidR="00AA4E5F" w:rsidRPr="009C41C8" w:rsidRDefault="00AA4E5F" w:rsidP="00B51402">
            <w:pPr>
              <w:pStyle w:val="Contenudetableau"/>
              <w:rPr>
                <w:rFonts w:ascii="Calibri" w:hAnsi="Calibri"/>
              </w:rPr>
            </w:pPr>
          </w:p>
        </w:tc>
        <w:tc>
          <w:tcPr>
            <w:tcW w:w="864" w:type="dxa"/>
            <w:tcBorders>
              <w:left w:val="single" w:sz="2" w:space="0" w:color="000000"/>
            </w:tcBorders>
            <w:shd w:val="clear" w:color="auto" w:fill="auto"/>
          </w:tcPr>
          <w:p w14:paraId="64A74CD8" w14:textId="77777777" w:rsidR="00AA4E5F" w:rsidRPr="009C41C8" w:rsidRDefault="00AA4E5F" w:rsidP="00B51402">
            <w:pPr>
              <w:pStyle w:val="Contenudetableau"/>
              <w:rPr>
                <w:rFonts w:ascii="Calibri" w:hAnsi="Calibri"/>
              </w:rPr>
            </w:pPr>
          </w:p>
        </w:tc>
        <w:tc>
          <w:tcPr>
            <w:tcW w:w="865" w:type="dxa"/>
            <w:tcBorders>
              <w:left w:val="single" w:sz="2" w:space="0" w:color="000000"/>
              <w:right w:val="single" w:sz="2" w:space="0" w:color="000000"/>
            </w:tcBorders>
            <w:shd w:val="clear" w:color="auto" w:fill="auto"/>
          </w:tcPr>
          <w:p w14:paraId="013BDD01" w14:textId="77777777" w:rsidR="00AA4E5F" w:rsidRPr="009C41C8" w:rsidRDefault="00AA4E5F" w:rsidP="00B51402">
            <w:pPr>
              <w:pStyle w:val="Contenudetableau"/>
              <w:rPr>
                <w:rFonts w:ascii="Calibri" w:hAnsi="Calibri"/>
              </w:rPr>
            </w:pPr>
          </w:p>
        </w:tc>
      </w:tr>
      <w:tr w:rsidR="00AA4E5F" w14:paraId="3F59BA29" w14:textId="77777777" w:rsidTr="00AA4E5F">
        <w:tc>
          <w:tcPr>
            <w:tcW w:w="7000" w:type="dxa"/>
            <w:tcBorders>
              <w:left w:val="single" w:sz="2" w:space="0" w:color="000000"/>
              <w:bottom w:val="single" w:sz="2" w:space="0" w:color="000000"/>
            </w:tcBorders>
            <w:shd w:val="clear" w:color="auto" w:fill="auto"/>
            <w:vAlign w:val="center"/>
          </w:tcPr>
          <w:p w14:paraId="63658D38" w14:textId="77777777" w:rsidR="00AA4E5F" w:rsidRDefault="00AA4E5F" w:rsidP="00B51402">
            <w:pPr>
              <w:pStyle w:val="Sansinterligne"/>
              <w:rPr>
                <w:rFonts w:ascii="Calibri Light" w:hAnsi="Calibri Light" w:cs="Calibri Light"/>
                <w:sz w:val="16"/>
                <w:szCs w:val="16"/>
              </w:rPr>
            </w:pPr>
            <w:r>
              <w:rPr>
                <w:rFonts w:ascii="Calibri Light" w:hAnsi="Calibri Light" w:cs="Calibri Light"/>
                <w:sz w:val="16"/>
                <w:szCs w:val="16"/>
              </w:rPr>
              <w:t>Valider une hypothèse, un résultat d’expérience</w:t>
            </w:r>
          </w:p>
        </w:tc>
        <w:tc>
          <w:tcPr>
            <w:tcW w:w="864" w:type="dxa"/>
            <w:tcBorders>
              <w:left w:val="single" w:sz="2" w:space="0" w:color="000000"/>
              <w:bottom w:val="single" w:sz="2" w:space="0" w:color="000000"/>
            </w:tcBorders>
            <w:shd w:val="clear" w:color="auto" w:fill="auto"/>
          </w:tcPr>
          <w:p w14:paraId="49E77C47" w14:textId="77777777" w:rsidR="00AA4E5F" w:rsidRPr="009C41C8" w:rsidRDefault="00AA4E5F" w:rsidP="00B51402">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50978EF4" w14:textId="77777777" w:rsidR="00AA4E5F" w:rsidRPr="009C41C8" w:rsidRDefault="00AA4E5F" w:rsidP="00B51402">
            <w:pPr>
              <w:pStyle w:val="Contenudetableau"/>
              <w:rPr>
                <w:rFonts w:ascii="Calibri" w:hAnsi="Calibri"/>
              </w:rPr>
            </w:pPr>
          </w:p>
        </w:tc>
        <w:tc>
          <w:tcPr>
            <w:tcW w:w="864" w:type="dxa"/>
            <w:tcBorders>
              <w:left w:val="single" w:sz="2" w:space="0" w:color="000000"/>
              <w:bottom w:val="single" w:sz="2" w:space="0" w:color="000000"/>
            </w:tcBorders>
            <w:shd w:val="clear" w:color="auto" w:fill="auto"/>
          </w:tcPr>
          <w:p w14:paraId="6153F457" w14:textId="77777777" w:rsidR="00AA4E5F" w:rsidRPr="009C41C8" w:rsidRDefault="00AA4E5F" w:rsidP="00B51402">
            <w:pPr>
              <w:pStyle w:val="Contenudetableau"/>
              <w:rPr>
                <w:rFonts w:ascii="Calibri" w:hAnsi="Calibri"/>
              </w:rPr>
            </w:pPr>
          </w:p>
        </w:tc>
        <w:tc>
          <w:tcPr>
            <w:tcW w:w="865" w:type="dxa"/>
            <w:tcBorders>
              <w:left w:val="single" w:sz="2" w:space="0" w:color="000000"/>
              <w:bottom w:val="single" w:sz="2" w:space="0" w:color="000000"/>
              <w:right w:val="single" w:sz="2" w:space="0" w:color="000000"/>
            </w:tcBorders>
            <w:shd w:val="clear" w:color="auto" w:fill="auto"/>
          </w:tcPr>
          <w:p w14:paraId="6CD1954E" w14:textId="77777777" w:rsidR="00AA4E5F" w:rsidRPr="009C41C8" w:rsidRDefault="00AA4E5F" w:rsidP="00B51402">
            <w:pPr>
              <w:pStyle w:val="Contenudetableau"/>
              <w:rPr>
                <w:rFonts w:ascii="Calibri" w:hAnsi="Calibri"/>
              </w:rPr>
            </w:pPr>
          </w:p>
        </w:tc>
      </w:tr>
    </w:tbl>
    <w:p w14:paraId="7047953A" w14:textId="77777777" w:rsidR="00AA4E5F" w:rsidRDefault="00AA4E5F" w:rsidP="00D50DAD">
      <w:pPr>
        <w:pStyle w:val="Sansinterligne"/>
        <w:jc w:val="both"/>
        <w:rPr>
          <w:rFonts w:asciiTheme="majorHAnsi" w:hAnsiTheme="majorHAnsi" w:cstheme="majorHAnsi"/>
        </w:rPr>
      </w:pPr>
      <w:r w:rsidRPr="00C71888">
        <w:rPr>
          <w:rFonts w:ascii="Times New Roman" w:eastAsia="Times New Roman" w:hAnsi="Times New Roman" w:cs="Times New Roman"/>
          <w:noProof/>
          <w:lang w:eastAsia="fr-FR"/>
        </w:rPr>
        <w:drawing>
          <wp:anchor distT="0" distB="0" distL="114300" distR="114300" simplePos="0" relativeHeight="251658240" behindDoc="0" locked="0" layoutInCell="1" allowOverlap="1" wp14:anchorId="7A7752E2" wp14:editId="4EB3A741">
            <wp:simplePos x="0" y="0"/>
            <wp:positionH relativeFrom="column">
              <wp:posOffset>5739765</wp:posOffset>
            </wp:positionH>
            <wp:positionV relativeFrom="paragraph">
              <wp:posOffset>42252</wp:posOffset>
            </wp:positionV>
            <wp:extent cx="863600" cy="2435225"/>
            <wp:effectExtent l="0" t="0" r="0" b="3175"/>
            <wp:wrapSquare wrapText="bothSides"/>
            <wp:docPr id="2" name="Image 2" descr="Betadine Scrub 4 % - Médicament Antiseptique - IllicoPh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dine Scrub 4 % - Médicament Antiseptique - IllicoPharm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737" r="28799"/>
                    <a:stretch/>
                  </pic:blipFill>
                  <pic:spPr bwMode="auto">
                    <a:xfrm>
                      <a:off x="0" y="0"/>
                      <a:ext cx="863600" cy="2435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4C637" w14:textId="77777777" w:rsidR="00BB05A1" w:rsidRPr="00F8448E" w:rsidRDefault="00937DE3" w:rsidP="00D50DAD">
      <w:pPr>
        <w:pStyle w:val="Sansinterligne"/>
        <w:jc w:val="both"/>
        <w:rPr>
          <w:rFonts w:asciiTheme="majorHAnsi" w:hAnsiTheme="majorHAnsi" w:cstheme="majorHAnsi"/>
        </w:rPr>
      </w:pPr>
      <w:r w:rsidRPr="00F8448E">
        <w:rPr>
          <w:rFonts w:asciiTheme="majorHAnsi" w:hAnsiTheme="majorHAnsi" w:cstheme="majorHAnsi"/>
        </w:rPr>
        <w:t>La B</w:t>
      </w:r>
      <w:r w:rsidR="00D50DAD" w:rsidRPr="00F8448E">
        <w:rPr>
          <w:rFonts w:asciiTheme="majorHAnsi" w:hAnsiTheme="majorHAnsi" w:cstheme="majorHAnsi"/>
        </w:rPr>
        <w:t>é</w:t>
      </w:r>
      <w:r w:rsidRPr="00F8448E">
        <w:rPr>
          <w:rFonts w:asciiTheme="majorHAnsi" w:hAnsiTheme="majorHAnsi" w:cstheme="majorHAnsi"/>
        </w:rPr>
        <w:t>tadine est un des produits qui contiennent du diiode de formule</w:t>
      </w:r>
      <w:r w:rsidRPr="00F8448E">
        <w:rPr>
          <w:rFonts w:ascii="Times" w:hAnsi="Times" w:cstheme="majorHAnsi"/>
        </w:rPr>
        <w:t xml:space="preserve"> I</w:t>
      </w:r>
      <w:r w:rsidRPr="00F8448E">
        <w:rPr>
          <w:rFonts w:asciiTheme="majorHAnsi" w:hAnsiTheme="majorHAnsi" w:cstheme="majorHAnsi"/>
          <w:position w:val="-2"/>
          <w:sz w:val="16"/>
          <w:szCs w:val="16"/>
        </w:rPr>
        <w:t>2</w:t>
      </w:r>
      <w:r w:rsidRPr="00F8448E">
        <w:rPr>
          <w:rFonts w:asciiTheme="majorHAnsi" w:hAnsiTheme="majorHAnsi" w:cstheme="majorHAnsi"/>
        </w:rPr>
        <w:t>. Elle est utilis</w:t>
      </w:r>
      <w:r w:rsidR="00D50DAD" w:rsidRPr="00F8448E">
        <w:rPr>
          <w:rFonts w:asciiTheme="majorHAnsi" w:hAnsiTheme="majorHAnsi" w:cstheme="majorHAnsi"/>
        </w:rPr>
        <w:t>é</w:t>
      </w:r>
      <w:r w:rsidRPr="00F8448E">
        <w:rPr>
          <w:rFonts w:asciiTheme="majorHAnsi" w:hAnsiTheme="majorHAnsi" w:cstheme="majorHAnsi"/>
        </w:rPr>
        <w:t>e comme antiseptique sur les plaies susceptibles de se surinfecter, sur les br</w:t>
      </w:r>
      <w:r w:rsidR="00D50DAD" w:rsidRPr="00F8448E">
        <w:rPr>
          <w:rFonts w:asciiTheme="majorHAnsi" w:hAnsiTheme="majorHAnsi" w:cstheme="majorHAnsi"/>
        </w:rPr>
        <w:t>û</w:t>
      </w:r>
      <w:r w:rsidRPr="00F8448E">
        <w:rPr>
          <w:rFonts w:asciiTheme="majorHAnsi" w:hAnsiTheme="majorHAnsi" w:cstheme="majorHAnsi"/>
        </w:rPr>
        <w:t>lures et les mycoses. Le diiode est en fait un oxydant qui agit en tuant les micro-organismes au travers de r</w:t>
      </w:r>
      <w:r w:rsidR="00D50DAD" w:rsidRPr="00F8448E">
        <w:rPr>
          <w:rFonts w:asciiTheme="majorHAnsi" w:hAnsiTheme="majorHAnsi" w:cstheme="majorHAnsi"/>
        </w:rPr>
        <w:t>é</w:t>
      </w:r>
      <w:r w:rsidRPr="00F8448E">
        <w:rPr>
          <w:rFonts w:asciiTheme="majorHAnsi" w:hAnsiTheme="majorHAnsi" w:cstheme="majorHAnsi"/>
        </w:rPr>
        <w:t>actions d’oxydor</w:t>
      </w:r>
      <w:r w:rsidR="00D50DAD" w:rsidRPr="00F8448E">
        <w:rPr>
          <w:rFonts w:asciiTheme="majorHAnsi" w:hAnsiTheme="majorHAnsi" w:cstheme="majorHAnsi"/>
        </w:rPr>
        <w:t>é</w:t>
      </w:r>
      <w:r w:rsidRPr="00F8448E">
        <w:rPr>
          <w:rFonts w:asciiTheme="majorHAnsi" w:hAnsiTheme="majorHAnsi" w:cstheme="majorHAnsi"/>
        </w:rPr>
        <w:t>duction. On dispose d’une solution de B</w:t>
      </w:r>
      <w:r w:rsidR="00D50DAD" w:rsidRPr="00F8448E">
        <w:rPr>
          <w:rFonts w:asciiTheme="majorHAnsi" w:hAnsiTheme="majorHAnsi" w:cstheme="majorHAnsi"/>
        </w:rPr>
        <w:t>é</w:t>
      </w:r>
      <w:r w:rsidRPr="00F8448E">
        <w:rPr>
          <w:rFonts w:asciiTheme="majorHAnsi" w:hAnsiTheme="majorHAnsi" w:cstheme="majorHAnsi"/>
        </w:rPr>
        <w:t>tadine commerciale à 4 % dont on d</w:t>
      </w:r>
      <w:r w:rsidR="00D50DAD" w:rsidRPr="00F8448E">
        <w:rPr>
          <w:rFonts w:asciiTheme="majorHAnsi" w:hAnsiTheme="majorHAnsi" w:cstheme="majorHAnsi"/>
        </w:rPr>
        <w:t>é</w:t>
      </w:r>
      <w:r w:rsidRPr="00F8448E">
        <w:rPr>
          <w:rFonts w:asciiTheme="majorHAnsi" w:hAnsiTheme="majorHAnsi" w:cstheme="majorHAnsi"/>
        </w:rPr>
        <w:t>sire v</w:t>
      </w:r>
      <w:r w:rsidR="00D50DAD" w:rsidRPr="00F8448E">
        <w:rPr>
          <w:rFonts w:asciiTheme="majorHAnsi" w:hAnsiTheme="majorHAnsi" w:cstheme="majorHAnsi"/>
        </w:rPr>
        <w:t>é</w:t>
      </w:r>
      <w:r w:rsidRPr="00F8448E">
        <w:rPr>
          <w:rFonts w:asciiTheme="majorHAnsi" w:hAnsiTheme="majorHAnsi" w:cstheme="majorHAnsi"/>
        </w:rPr>
        <w:t xml:space="preserve">rifier le pourcentage massique en diiode. </w:t>
      </w:r>
    </w:p>
    <w:p w14:paraId="54A4CE12" w14:textId="77777777" w:rsidR="00E0770C" w:rsidRDefault="00E0770C" w:rsidP="00E0770C">
      <w:pPr>
        <w:pStyle w:val="Sansinterligne"/>
      </w:pPr>
    </w:p>
    <w:p w14:paraId="51827B2E" w14:textId="77777777" w:rsidR="00FB3BB6" w:rsidRDefault="00792138" w:rsidP="00792138">
      <w:pPr>
        <w:jc w:val="both"/>
        <w:rPr>
          <w:rFonts w:asciiTheme="majorHAnsi" w:hAnsiTheme="majorHAnsi" w:cstheme="majorHAnsi"/>
          <w:b/>
          <w:bCs/>
          <w:sz w:val="28"/>
          <w:szCs w:val="28"/>
        </w:rPr>
      </w:pPr>
      <w:r w:rsidRPr="00AA4E5F">
        <w:rPr>
          <w:rFonts w:asciiTheme="majorHAnsi" w:hAnsiTheme="majorHAnsi" w:cstheme="majorHAnsi"/>
          <w:b/>
          <w:bCs/>
          <w:sz w:val="28"/>
          <w:szCs w:val="28"/>
        </w:rPr>
        <w:t>Liste du matériel et des produits</w:t>
      </w:r>
    </w:p>
    <w:p w14:paraId="15BC6A1B" w14:textId="77777777" w:rsidR="00792138" w:rsidRPr="00FB3BB6" w:rsidRDefault="00792138" w:rsidP="00792138">
      <w:pPr>
        <w:jc w:val="both"/>
        <w:rPr>
          <w:rFonts w:asciiTheme="majorHAnsi" w:hAnsiTheme="majorHAnsi" w:cstheme="majorHAnsi"/>
          <w:b/>
          <w:bCs/>
          <w:sz w:val="28"/>
          <w:szCs w:val="28"/>
        </w:rPr>
      </w:pPr>
      <w:r w:rsidRPr="00E16A22">
        <w:rPr>
          <w:rFonts w:asciiTheme="majorHAnsi" w:hAnsiTheme="majorHAnsi" w:cstheme="majorHAnsi"/>
        </w:rPr>
        <w:t>Matériel :</w:t>
      </w:r>
    </w:p>
    <w:p w14:paraId="783F51D7" w14:textId="77777777"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Burette graduée</w:t>
      </w:r>
    </w:p>
    <w:p w14:paraId="3033A29D" w14:textId="77777777"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w:t>
      </w:r>
      <w:r w:rsidR="00C807A6" w:rsidRPr="00E16A22">
        <w:rPr>
          <w:rFonts w:asciiTheme="majorHAnsi" w:hAnsiTheme="majorHAnsi" w:cstheme="majorHAnsi"/>
        </w:rPr>
        <w:t>Éprouvette</w:t>
      </w:r>
      <w:r w:rsidR="00792138" w:rsidRPr="00E16A22">
        <w:rPr>
          <w:rFonts w:asciiTheme="majorHAnsi" w:hAnsiTheme="majorHAnsi" w:cstheme="majorHAnsi"/>
        </w:rPr>
        <w:t xml:space="preserve"> graduée de 50 mL</w:t>
      </w:r>
    </w:p>
    <w:p w14:paraId="47F21E1A" w14:textId="77777777" w:rsidR="00792138" w:rsidRPr="00E16A22" w:rsidRDefault="00792138" w:rsidP="00792138">
      <w:pPr>
        <w:jc w:val="both"/>
        <w:rPr>
          <w:rFonts w:asciiTheme="majorHAnsi" w:hAnsiTheme="majorHAnsi" w:cstheme="majorHAnsi"/>
        </w:rPr>
      </w:pPr>
      <w:r w:rsidRPr="00E16A22">
        <w:rPr>
          <w:rFonts w:asciiTheme="majorHAnsi" w:eastAsia="Times New Roman" w:hAnsiTheme="majorHAnsi" w:cstheme="majorHAnsi"/>
          <w:lang w:eastAsia="fr-FR"/>
        </w:rPr>
        <w:fldChar w:fldCharType="begin"/>
      </w:r>
      <w:r w:rsidRPr="00E16A22">
        <w:rPr>
          <w:rFonts w:asciiTheme="majorHAnsi" w:eastAsia="Times New Roman" w:hAnsiTheme="majorHAnsi" w:cstheme="majorHAnsi"/>
          <w:lang w:eastAsia="fr-FR"/>
        </w:rPr>
        <w:instrText xml:space="preserve"> INCLUDEPICTURE "https://www.mapara.fr/media/catalog/product/b/e/betadine_dermique_10__1.jpg" \* MERGEFORMATINET </w:instrText>
      </w:r>
      <w:r w:rsidRPr="00E16A22">
        <w:rPr>
          <w:rFonts w:asciiTheme="majorHAnsi" w:eastAsia="Times New Roman" w:hAnsiTheme="majorHAnsi" w:cstheme="majorHAnsi"/>
          <w:lang w:eastAsia="fr-FR"/>
        </w:rPr>
        <w:fldChar w:fldCharType="end"/>
      </w:r>
      <w:r w:rsidR="00DE1579" w:rsidRPr="00E16A22">
        <w:rPr>
          <w:rFonts w:asciiTheme="majorHAnsi" w:hAnsiTheme="majorHAnsi" w:cstheme="majorHAnsi"/>
        </w:rPr>
        <w:t>-</w:t>
      </w:r>
      <w:r w:rsidRPr="00E16A22">
        <w:rPr>
          <w:rFonts w:asciiTheme="majorHAnsi" w:hAnsiTheme="majorHAnsi" w:cstheme="majorHAnsi"/>
        </w:rPr>
        <w:t xml:space="preserve"> Pipettes jaugées de 5 mL et de 10 mL</w:t>
      </w:r>
      <w:r w:rsidR="00C51612">
        <w:rPr>
          <w:rFonts w:asciiTheme="majorHAnsi" w:hAnsiTheme="majorHAnsi" w:cstheme="majorHAnsi"/>
        </w:rPr>
        <w:t xml:space="preserve"> + </w:t>
      </w:r>
      <w:proofErr w:type="spellStart"/>
      <w:r w:rsidR="00C51612">
        <w:rPr>
          <w:rFonts w:asciiTheme="majorHAnsi" w:hAnsiTheme="majorHAnsi" w:cstheme="majorHAnsi"/>
        </w:rPr>
        <w:t>propipette</w:t>
      </w:r>
      <w:proofErr w:type="spellEnd"/>
    </w:p>
    <w:p w14:paraId="2E79A6B6" w14:textId="77777777" w:rsidR="00E47525" w:rsidRPr="00E16A22" w:rsidRDefault="00AA4E5F" w:rsidP="00792138">
      <w:pPr>
        <w:jc w:val="both"/>
        <w:rPr>
          <w:rFonts w:asciiTheme="majorHAnsi" w:hAnsiTheme="majorHAnsi" w:cstheme="majorHAnsi"/>
        </w:rPr>
      </w:pPr>
      <w:r w:rsidRPr="00E16A2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D244BE4" wp14:editId="54805D84">
                <wp:simplePos x="0" y="0"/>
                <wp:positionH relativeFrom="column">
                  <wp:posOffset>3589655</wp:posOffset>
                </wp:positionH>
                <wp:positionV relativeFrom="paragraph">
                  <wp:posOffset>151423</wp:posOffset>
                </wp:positionV>
                <wp:extent cx="2927831" cy="1048407"/>
                <wp:effectExtent l="0" t="0" r="19050" b="18415"/>
                <wp:wrapNone/>
                <wp:docPr id="3" name="Zone de texte 3"/>
                <wp:cNvGraphicFramePr/>
                <a:graphic xmlns:a="http://schemas.openxmlformats.org/drawingml/2006/main">
                  <a:graphicData uri="http://schemas.microsoft.com/office/word/2010/wordprocessingShape">
                    <wps:wsp>
                      <wps:cNvSpPr txBox="1"/>
                      <wps:spPr>
                        <a:xfrm>
                          <a:off x="0" y="0"/>
                          <a:ext cx="2927831" cy="1048407"/>
                        </a:xfrm>
                        <a:prstGeom prst="rect">
                          <a:avLst/>
                        </a:prstGeom>
                        <a:solidFill>
                          <a:schemeClr val="lt1"/>
                        </a:solidFill>
                        <a:ln w="6350">
                          <a:solidFill>
                            <a:prstClr val="black"/>
                          </a:solidFill>
                        </a:ln>
                      </wps:spPr>
                      <wps:txbx>
                        <w:txbxContent>
                          <w:p w14:paraId="5B907C2D" w14:textId="77777777" w:rsidR="00BB05A1" w:rsidRPr="00E16A22" w:rsidRDefault="00BB05A1" w:rsidP="00D50DAD">
                            <w:pPr>
                              <w:jc w:val="both"/>
                              <w:rPr>
                                <w:rFonts w:asciiTheme="majorHAnsi" w:hAnsiTheme="majorHAnsi" w:cstheme="majorHAnsi"/>
                                <w:lang w:val="fr-CH"/>
                              </w:rPr>
                            </w:pPr>
                            <w:r w:rsidRPr="00E16A22">
                              <w:rPr>
                                <w:rFonts w:asciiTheme="majorHAnsi" w:hAnsiTheme="majorHAnsi" w:cstheme="majorHAnsi"/>
                                <w:lang w:val="fr-CH"/>
                              </w:rPr>
                              <w:t xml:space="preserve">Une solution de Bétadine à 4% signifie que 100 mL de solution contient 4,0 g de </w:t>
                            </w:r>
                            <w:r w:rsidR="00D50DAD" w:rsidRPr="00E16A22">
                              <w:rPr>
                                <w:rFonts w:asciiTheme="majorHAnsi" w:hAnsiTheme="majorHAnsi" w:cstheme="majorHAnsi"/>
                                <w:lang w:val="fr-CH"/>
                              </w:rPr>
                              <w:t>polyvidone iodé. Cela correspond à 0,43 g de diiode.</w:t>
                            </w:r>
                          </w:p>
                          <w:p w14:paraId="50F8A16A" w14:textId="77777777" w:rsidR="00DE1579" w:rsidRPr="00230550" w:rsidRDefault="00DE1579" w:rsidP="00DE1579">
                            <w:pPr>
                              <w:jc w:val="both"/>
                            </w:pPr>
                            <w:r w:rsidRPr="00E16A22">
                              <w:rPr>
                                <w:rFonts w:asciiTheme="majorHAnsi" w:hAnsiTheme="majorHAnsi" w:cstheme="majorHAnsi"/>
                              </w:rPr>
                              <w:t>Masse molaire de l’iode :</w:t>
                            </w:r>
                            <w:r>
                              <w:t xml:space="preserve"> </w:t>
                            </w:r>
                            <w:r w:rsidRPr="00C373B5">
                              <w:rPr>
                                <w:rFonts w:asciiTheme="majorHAnsi" w:hAnsiTheme="majorHAnsi" w:cstheme="majorHAnsi"/>
                              </w:rPr>
                              <w:t>M(</w:t>
                            </w:r>
                            <w:r w:rsidRPr="002B6F85">
                              <w:rPr>
                                <w:rFonts w:ascii="Times New Roman" w:hAnsi="Times New Roman" w:cs="Times New Roman"/>
                              </w:rPr>
                              <w:t>I</w:t>
                            </w:r>
                            <w:r w:rsidRPr="00C373B5">
                              <w:rPr>
                                <w:rFonts w:asciiTheme="majorHAnsi" w:hAnsiTheme="majorHAnsi" w:cstheme="majorHAnsi"/>
                              </w:rPr>
                              <w:t>) = 127 g.mol</w:t>
                            </w:r>
                            <w:r w:rsidRPr="00C373B5">
                              <w:rPr>
                                <w:rFonts w:asciiTheme="majorHAnsi" w:hAnsiTheme="majorHAnsi" w:cstheme="majorHAnsi"/>
                                <w:vertAlign w:val="superscript"/>
                              </w:rPr>
                              <w:t>-1</w:t>
                            </w:r>
                            <w:r>
                              <w:t xml:space="preserve"> </w:t>
                            </w:r>
                          </w:p>
                          <w:p w14:paraId="6D553BE4" w14:textId="77777777" w:rsidR="00DE1579" w:rsidRPr="00DE1579" w:rsidRDefault="00DE1579" w:rsidP="00D50DA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82.65pt;margin-top:11.9pt;width:230.5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" fillcolor="white [3201]" strokeweight=".5pt">
                <v:textbox>
                  <w:txbxContent>
                    <w:p w:rsidR="00BB05A1" w:rsidRPr="00E16A22" w:rsidRDefault="00BB05A1" w:rsidP="00D50DAD">
                      <w:pPr>
                        <w:jc w:val="both"/>
                        <w:rPr>
                          <w:rFonts w:asciiTheme="majorHAnsi" w:hAnsiTheme="majorHAnsi" w:cstheme="majorHAnsi"/>
                          <w:lang w:val="fr-CH"/>
                        </w:rPr>
                      </w:pPr>
                      <w:r w:rsidRPr="00E16A22">
                        <w:rPr>
                          <w:rFonts w:asciiTheme="majorHAnsi" w:hAnsiTheme="majorHAnsi" w:cstheme="majorHAnsi"/>
                          <w:lang w:val="fr-CH"/>
                        </w:rPr>
                        <w:t xml:space="preserve">Une solution de Bétadine à 4% signifie que 100 mL de solution contient 4,0 g de </w:t>
                      </w:r>
                      <w:proofErr w:type="spellStart"/>
                      <w:r w:rsidR="00D50DAD" w:rsidRPr="00E16A22">
                        <w:rPr>
                          <w:rFonts w:asciiTheme="majorHAnsi" w:hAnsiTheme="majorHAnsi" w:cstheme="majorHAnsi"/>
                          <w:lang w:val="fr-CH"/>
                        </w:rPr>
                        <w:t>polyvidone</w:t>
                      </w:r>
                      <w:proofErr w:type="spellEnd"/>
                      <w:r w:rsidR="00D50DAD" w:rsidRPr="00E16A22">
                        <w:rPr>
                          <w:rFonts w:asciiTheme="majorHAnsi" w:hAnsiTheme="majorHAnsi" w:cstheme="majorHAnsi"/>
                          <w:lang w:val="fr-CH"/>
                        </w:rPr>
                        <w:t xml:space="preserve"> iodé. Cela correspond à 0,43 g de diiode.</w:t>
                      </w:r>
                    </w:p>
                    <w:p w:rsidR="00DE1579" w:rsidRPr="00230550" w:rsidRDefault="00DE1579" w:rsidP="00DE1579">
                      <w:pPr>
                        <w:jc w:val="both"/>
                      </w:pPr>
                      <w:r w:rsidRPr="00E16A22">
                        <w:rPr>
                          <w:rFonts w:asciiTheme="majorHAnsi" w:hAnsiTheme="majorHAnsi" w:cstheme="majorHAnsi"/>
                        </w:rPr>
                        <w:t>Masse molaire de l’iode :</w:t>
                      </w:r>
                      <w:r>
                        <w:t xml:space="preserve"> </w:t>
                      </w:r>
                      <w:r w:rsidRPr="00C373B5">
                        <w:rPr>
                          <w:rFonts w:asciiTheme="majorHAnsi" w:hAnsiTheme="majorHAnsi" w:cstheme="majorHAnsi"/>
                        </w:rPr>
                        <w:t>M(</w:t>
                      </w:r>
                      <w:r w:rsidRPr="002B6F85">
                        <w:rPr>
                          <w:rFonts w:ascii="Times New Roman" w:hAnsi="Times New Roman" w:cs="Times New Roman"/>
                        </w:rPr>
                        <w:t>I</w:t>
                      </w:r>
                      <w:r w:rsidRPr="00C373B5">
                        <w:rPr>
                          <w:rFonts w:asciiTheme="majorHAnsi" w:hAnsiTheme="majorHAnsi" w:cstheme="majorHAnsi"/>
                        </w:rPr>
                        <w:t>) = 127 g.mol</w:t>
                      </w:r>
                      <w:r w:rsidRPr="00C373B5">
                        <w:rPr>
                          <w:rFonts w:asciiTheme="majorHAnsi" w:hAnsiTheme="majorHAnsi" w:cstheme="majorHAnsi"/>
                          <w:vertAlign w:val="superscript"/>
                        </w:rPr>
                        <w:t>-1</w:t>
                      </w:r>
                      <w:r>
                        <w:t xml:space="preserve"> </w:t>
                      </w:r>
                    </w:p>
                    <w:p w:rsidR="00DE1579" w:rsidRPr="00DE1579" w:rsidRDefault="00DE1579" w:rsidP="00D50DAD">
                      <w:pPr>
                        <w:jc w:val="both"/>
                      </w:pPr>
                    </w:p>
                  </w:txbxContent>
                </v:textbox>
              </v:shape>
            </w:pict>
          </mc:Fallback>
        </mc:AlternateContent>
      </w:r>
      <w:r w:rsidR="00E47525" w:rsidRPr="00E16A22">
        <w:rPr>
          <w:rFonts w:asciiTheme="majorHAnsi" w:hAnsiTheme="majorHAnsi" w:cstheme="majorHAnsi"/>
        </w:rPr>
        <w:t>- Fiole jaugée de 50 mL</w:t>
      </w:r>
    </w:p>
    <w:p w14:paraId="0BFD50BD" w14:textId="77777777"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3 béchers</w:t>
      </w:r>
    </w:p>
    <w:p w14:paraId="100F141E" w14:textId="14A0D1B4"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erlenmeyer de </w:t>
      </w:r>
      <w:r w:rsidR="0092588C">
        <w:rPr>
          <w:rFonts w:asciiTheme="majorHAnsi" w:hAnsiTheme="majorHAnsi" w:cstheme="majorHAnsi"/>
        </w:rPr>
        <w:t>125</w:t>
      </w:r>
      <w:r w:rsidR="00792138" w:rsidRPr="00E16A22">
        <w:rPr>
          <w:rFonts w:asciiTheme="majorHAnsi" w:hAnsiTheme="majorHAnsi" w:cstheme="majorHAnsi"/>
        </w:rPr>
        <w:t xml:space="preserve"> mL</w:t>
      </w:r>
    </w:p>
    <w:p w14:paraId="2D8371E1" w14:textId="77777777"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agitateur + barreau aimanté</w:t>
      </w:r>
    </w:p>
    <w:p w14:paraId="26B49A4F" w14:textId="77777777" w:rsidR="00DE6ECD" w:rsidRPr="00E16A22" w:rsidRDefault="00792138" w:rsidP="00792138">
      <w:pPr>
        <w:jc w:val="both"/>
        <w:rPr>
          <w:rFonts w:asciiTheme="majorHAnsi" w:hAnsiTheme="majorHAnsi" w:cstheme="majorHAnsi"/>
        </w:rPr>
      </w:pPr>
      <w:r w:rsidRPr="00E16A22">
        <w:rPr>
          <w:rFonts w:asciiTheme="majorHAnsi" w:hAnsiTheme="majorHAnsi" w:cstheme="majorHAnsi"/>
        </w:rPr>
        <w:br/>
        <w:t>Produits</w:t>
      </w:r>
      <w:r w:rsidR="00DE6ECD" w:rsidRPr="00E16A22">
        <w:rPr>
          <w:rFonts w:asciiTheme="majorHAnsi" w:hAnsiTheme="majorHAnsi" w:cstheme="majorHAnsi"/>
        </w:rPr>
        <w:t xml:space="preserve"> </w:t>
      </w:r>
      <w:r w:rsidRPr="00E16A22">
        <w:rPr>
          <w:rFonts w:asciiTheme="majorHAnsi" w:hAnsiTheme="majorHAnsi" w:cstheme="majorHAnsi"/>
        </w:rPr>
        <w:t>:</w:t>
      </w:r>
    </w:p>
    <w:p w14:paraId="79908CCE" w14:textId="77777777" w:rsidR="00792138"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Bétadine à 4%</w:t>
      </w:r>
    </w:p>
    <w:p w14:paraId="3976BF4F" w14:textId="77777777" w:rsidR="00792138" w:rsidRPr="00E16A22" w:rsidRDefault="00DE1579" w:rsidP="00792138">
      <w:pPr>
        <w:jc w:val="both"/>
        <w:rPr>
          <w:rFonts w:asciiTheme="majorHAnsi" w:hAnsiTheme="majorHAnsi" w:cstheme="majorHAnsi"/>
          <w:vertAlign w:val="superscript"/>
        </w:rPr>
      </w:pPr>
      <w:r w:rsidRPr="00E16A22">
        <w:rPr>
          <w:rFonts w:asciiTheme="majorHAnsi" w:hAnsiTheme="majorHAnsi" w:cstheme="majorHAnsi"/>
        </w:rPr>
        <w:t>-</w:t>
      </w:r>
      <w:r w:rsidR="00792138" w:rsidRPr="00E16A22">
        <w:rPr>
          <w:rFonts w:asciiTheme="majorHAnsi" w:hAnsiTheme="majorHAnsi" w:cstheme="majorHAnsi"/>
        </w:rPr>
        <w:t xml:space="preserve"> thiosulfate de sodium de concentration C</w:t>
      </w:r>
      <w:r w:rsidR="00792138" w:rsidRPr="00E16A22">
        <w:rPr>
          <w:rFonts w:asciiTheme="majorHAnsi" w:hAnsiTheme="majorHAnsi" w:cstheme="majorHAnsi"/>
          <w:vertAlign w:val="subscript"/>
        </w:rPr>
        <w:t>2</w:t>
      </w:r>
      <w:r w:rsidR="00792138" w:rsidRPr="00E16A22">
        <w:rPr>
          <w:rFonts w:asciiTheme="majorHAnsi" w:hAnsiTheme="majorHAnsi" w:cstheme="majorHAnsi"/>
        </w:rPr>
        <w:t xml:space="preserve"> = 2,5.10</w:t>
      </w:r>
      <w:r w:rsidR="00792138" w:rsidRPr="00E16A22">
        <w:rPr>
          <w:rFonts w:asciiTheme="majorHAnsi" w:hAnsiTheme="majorHAnsi" w:cstheme="majorHAnsi"/>
          <w:vertAlign w:val="superscript"/>
        </w:rPr>
        <w:t>-3</w:t>
      </w:r>
      <w:r w:rsidR="00792138" w:rsidRPr="00E16A22">
        <w:rPr>
          <w:rFonts w:asciiTheme="majorHAnsi" w:hAnsiTheme="majorHAnsi" w:cstheme="majorHAnsi"/>
        </w:rPr>
        <w:t xml:space="preserve"> </w:t>
      </w:r>
      <w:proofErr w:type="gramStart"/>
      <w:r w:rsidR="00792138" w:rsidRPr="00E16A22">
        <w:rPr>
          <w:rFonts w:asciiTheme="majorHAnsi" w:hAnsiTheme="majorHAnsi" w:cstheme="majorHAnsi"/>
        </w:rPr>
        <w:t>mol.L</w:t>
      </w:r>
      <w:proofErr w:type="gramEnd"/>
      <w:r w:rsidR="00792138" w:rsidRPr="00E16A22">
        <w:rPr>
          <w:rFonts w:asciiTheme="majorHAnsi" w:hAnsiTheme="majorHAnsi" w:cstheme="majorHAnsi"/>
          <w:vertAlign w:val="superscript"/>
        </w:rPr>
        <w:t>-1</w:t>
      </w:r>
    </w:p>
    <w:p w14:paraId="1B9618F0" w14:textId="77777777" w:rsidR="00230550" w:rsidRPr="00E16A22" w:rsidRDefault="00DE1579" w:rsidP="00792138">
      <w:pPr>
        <w:jc w:val="both"/>
        <w:rPr>
          <w:rFonts w:asciiTheme="majorHAnsi" w:hAnsiTheme="majorHAnsi" w:cstheme="majorHAnsi"/>
        </w:rPr>
      </w:pPr>
      <w:r w:rsidRPr="00E16A22">
        <w:rPr>
          <w:rFonts w:asciiTheme="majorHAnsi" w:hAnsiTheme="majorHAnsi" w:cstheme="majorHAnsi"/>
        </w:rPr>
        <w:t>-</w:t>
      </w:r>
      <w:r w:rsidR="00792138" w:rsidRPr="00E16A22">
        <w:rPr>
          <w:rFonts w:asciiTheme="majorHAnsi" w:hAnsiTheme="majorHAnsi" w:cstheme="majorHAnsi"/>
        </w:rPr>
        <w:t xml:space="preserve"> empois d’amidon</w:t>
      </w:r>
      <w:r w:rsidR="00A033D5" w:rsidRPr="00E16A22">
        <w:rPr>
          <w:rFonts w:asciiTheme="majorHAnsi" w:hAnsiTheme="majorHAnsi" w:cstheme="majorHAnsi"/>
        </w:rPr>
        <w:t xml:space="preserve"> (donne une couleur </w:t>
      </w:r>
      <w:r w:rsidR="00DB4AC3" w:rsidRPr="00E16A22">
        <w:rPr>
          <w:rFonts w:asciiTheme="majorHAnsi" w:hAnsiTheme="majorHAnsi" w:cstheme="majorHAnsi"/>
        </w:rPr>
        <w:t>bleu</w:t>
      </w:r>
      <w:r w:rsidR="00DB4AC3">
        <w:rPr>
          <w:rFonts w:asciiTheme="majorHAnsi" w:hAnsiTheme="majorHAnsi" w:cstheme="majorHAnsi"/>
        </w:rPr>
        <w:t xml:space="preserve"> foncé</w:t>
      </w:r>
      <w:r w:rsidR="00A033D5" w:rsidRPr="00E16A22">
        <w:rPr>
          <w:rFonts w:asciiTheme="majorHAnsi" w:hAnsiTheme="majorHAnsi" w:cstheme="majorHAnsi"/>
        </w:rPr>
        <w:t xml:space="preserve"> à une solution contenant du diiode)</w:t>
      </w:r>
    </w:p>
    <w:p w14:paraId="68475D7E" w14:textId="77777777" w:rsidR="00792138" w:rsidRPr="00E16A22" w:rsidRDefault="00792138" w:rsidP="00E0770C">
      <w:pPr>
        <w:pStyle w:val="Sansinterligne"/>
        <w:rPr>
          <w:rFonts w:asciiTheme="majorHAnsi" w:hAnsiTheme="majorHAnsi" w:cstheme="majorHAnsi"/>
        </w:rPr>
      </w:pPr>
    </w:p>
    <w:p w14:paraId="14DA8E5B" w14:textId="77777777" w:rsidR="00937DE3" w:rsidRPr="00F8448E" w:rsidRDefault="00937DE3" w:rsidP="00937DE3">
      <w:pPr>
        <w:pStyle w:val="Sansinterligne"/>
        <w:numPr>
          <w:ilvl w:val="0"/>
          <w:numId w:val="2"/>
        </w:numPr>
        <w:rPr>
          <w:rFonts w:asciiTheme="majorHAnsi" w:hAnsiTheme="majorHAnsi" w:cstheme="majorHAnsi"/>
          <w:b/>
          <w:bCs/>
          <w:sz w:val="28"/>
          <w:szCs w:val="28"/>
          <w:u w:val="single"/>
        </w:rPr>
      </w:pPr>
      <w:r w:rsidRPr="00F8448E">
        <w:rPr>
          <w:rFonts w:asciiTheme="majorHAnsi" w:hAnsiTheme="majorHAnsi" w:cstheme="majorHAnsi"/>
          <w:b/>
          <w:bCs/>
          <w:sz w:val="28"/>
          <w:szCs w:val="28"/>
          <w:u w:val="single"/>
        </w:rPr>
        <w:t xml:space="preserve">Dilution de la solution commerciale </w:t>
      </w:r>
    </w:p>
    <w:p w14:paraId="1F93FBE6" w14:textId="77777777" w:rsidR="00937DE3" w:rsidRDefault="00937DE3" w:rsidP="00C71888">
      <w:pPr>
        <w:jc w:val="both"/>
      </w:pPr>
    </w:p>
    <w:p w14:paraId="0B335AEF" w14:textId="77777777" w:rsidR="00937DE3" w:rsidRPr="008616A3" w:rsidRDefault="00937DE3" w:rsidP="00C71888">
      <w:pPr>
        <w:jc w:val="both"/>
        <w:rPr>
          <w:rFonts w:asciiTheme="majorHAnsi" w:hAnsiTheme="majorHAnsi" w:cstheme="majorHAnsi"/>
        </w:rPr>
      </w:pPr>
      <w:r w:rsidRPr="008616A3">
        <w:rPr>
          <w:rFonts w:asciiTheme="majorHAnsi" w:hAnsiTheme="majorHAnsi" w:cstheme="majorHAnsi"/>
        </w:rPr>
        <w:t>La Bétadine étant très concentrée en diiode, il convient de la diluer 10 fois avant de la titrer.</w:t>
      </w:r>
      <w:r w:rsidR="00D0236B" w:rsidRPr="008616A3">
        <w:rPr>
          <w:rFonts w:asciiTheme="majorHAnsi" w:hAnsiTheme="majorHAnsi" w:cstheme="majorHAnsi"/>
        </w:rPr>
        <w:t xml:space="preserve"> Effectuer cette dilution</w:t>
      </w:r>
      <w:r w:rsidR="00FC535A" w:rsidRPr="008616A3">
        <w:rPr>
          <w:rFonts w:asciiTheme="majorHAnsi" w:hAnsiTheme="majorHAnsi" w:cstheme="majorHAnsi"/>
        </w:rPr>
        <w:t xml:space="preserve"> à l’aide du matériel à disposition</w:t>
      </w:r>
      <w:r w:rsidR="00D0236B" w:rsidRPr="008616A3">
        <w:rPr>
          <w:rFonts w:asciiTheme="majorHAnsi" w:hAnsiTheme="majorHAnsi" w:cstheme="majorHAnsi"/>
        </w:rPr>
        <w:t>.</w:t>
      </w:r>
    </w:p>
    <w:p w14:paraId="4C343507" w14:textId="77777777" w:rsidR="00937DE3" w:rsidRDefault="00937DE3" w:rsidP="00C71888">
      <w:pPr>
        <w:jc w:val="both"/>
      </w:pPr>
    </w:p>
    <w:p w14:paraId="09E31BD9" w14:textId="77777777" w:rsidR="00792138" w:rsidRPr="00F8448E" w:rsidRDefault="00792138" w:rsidP="00792138">
      <w:pPr>
        <w:pStyle w:val="Paragraphedeliste"/>
        <w:numPr>
          <w:ilvl w:val="0"/>
          <w:numId w:val="2"/>
        </w:numPr>
        <w:jc w:val="both"/>
        <w:rPr>
          <w:rFonts w:asciiTheme="majorHAnsi" w:hAnsiTheme="majorHAnsi" w:cstheme="majorHAnsi"/>
          <w:b/>
          <w:bCs/>
          <w:sz w:val="28"/>
          <w:szCs w:val="28"/>
          <w:u w:val="single"/>
        </w:rPr>
      </w:pPr>
      <w:r w:rsidRPr="00F8448E">
        <w:rPr>
          <w:rFonts w:asciiTheme="majorHAnsi" w:hAnsiTheme="majorHAnsi" w:cstheme="majorHAnsi"/>
          <w:b/>
          <w:bCs/>
          <w:sz w:val="28"/>
          <w:szCs w:val="28"/>
          <w:u w:val="single"/>
        </w:rPr>
        <w:t>Dosage colorimétrique de la solution diluée</w:t>
      </w:r>
    </w:p>
    <w:p w14:paraId="68B00030" w14:textId="77777777" w:rsidR="001765A8" w:rsidRPr="008616A3" w:rsidRDefault="009863E0" w:rsidP="00C71888">
      <w:pPr>
        <w:jc w:val="both"/>
        <w:rPr>
          <w:rFonts w:asciiTheme="majorHAnsi" w:hAnsiTheme="majorHAnsi" w:cstheme="majorHAnsi"/>
        </w:rPr>
      </w:pPr>
      <w:r w:rsidRPr="008616A3">
        <w:rPr>
          <w:rFonts w:asciiTheme="majorHAnsi" w:hAnsiTheme="majorHAnsi" w:cstheme="majorHAnsi"/>
        </w:rPr>
        <w:t>Lorsque l’on mélange une solution de thiosulfate de sodium et de la Bétadine, sa couleur,</w:t>
      </w:r>
      <w:r w:rsidR="00E0770C" w:rsidRPr="008616A3">
        <w:rPr>
          <w:rFonts w:asciiTheme="majorHAnsi" w:hAnsiTheme="majorHAnsi" w:cstheme="majorHAnsi"/>
        </w:rPr>
        <w:t xml:space="preserve"> initiale</w:t>
      </w:r>
      <w:r w:rsidRPr="008616A3">
        <w:rPr>
          <w:rFonts w:asciiTheme="majorHAnsi" w:hAnsiTheme="majorHAnsi" w:cstheme="majorHAnsi"/>
        </w:rPr>
        <w:t>ment</w:t>
      </w:r>
      <w:r w:rsidR="00E0770C" w:rsidRPr="008616A3">
        <w:rPr>
          <w:rFonts w:asciiTheme="majorHAnsi" w:hAnsiTheme="majorHAnsi" w:cstheme="majorHAnsi"/>
        </w:rPr>
        <w:t xml:space="preserve"> brune</w:t>
      </w:r>
      <w:r w:rsidR="002B6F85" w:rsidRPr="008616A3">
        <w:rPr>
          <w:rFonts w:asciiTheme="majorHAnsi" w:hAnsiTheme="majorHAnsi" w:cstheme="majorHAnsi"/>
        </w:rPr>
        <w:t>,</w:t>
      </w:r>
      <w:r w:rsidR="00E0770C" w:rsidRPr="008616A3">
        <w:rPr>
          <w:rFonts w:asciiTheme="majorHAnsi" w:hAnsiTheme="majorHAnsi" w:cstheme="majorHAnsi"/>
        </w:rPr>
        <w:t xml:space="preserve"> </w:t>
      </w:r>
      <w:r w:rsidRPr="008616A3">
        <w:rPr>
          <w:rFonts w:asciiTheme="majorHAnsi" w:hAnsiTheme="majorHAnsi" w:cstheme="majorHAnsi"/>
        </w:rPr>
        <w:t>disparait</w:t>
      </w:r>
      <w:r w:rsidR="00E0770C" w:rsidRPr="008616A3">
        <w:rPr>
          <w:rFonts w:asciiTheme="majorHAnsi" w:hAnsiTheme="majorHAnsi" w:cstheme="majorHAnsi"/>
        </w:rPr>
        <w:t>. C’est une réaction d’oxydoréduction entre l’ion thiosulfate et le diiode contenu dans la Bétadine</w:t>
      </w:r>
      <w:r w:rsidR="001765A8" w:rsidRPr="008616A3">
        <w:rPr>
          <w:rFonts w:asciiTheme="majorHAnsi" w:hAnsiTheme="majorHAnsi" w:cstheme="majorHAnsi"/>
        </w:rPr>
        <w:t>.</w:t>
      </w:r>
    </w:p>
    <w:p w14:paraId="43041FA8" w14:textId="4FE4C467" w:rsidR="00FD5127" w:rsidRPr="009E7644" w:rsidRDefault="00FD5127" w:rsidP="00C71888">
      <w:pPr>
        <w:jc w:val="both"/>
        <w:rPr>
          <w:rFonts w:ascii="Times New Roman" w:eastAsia="Times New Roman" w:hAnsi="Times New Roman" w:cs="Times New Roman"/>
          <w:lang w:eastAsia="fr-FR"/>
        </w:rPr>
      </w:pPr>
      <w:r w:rsidRPr="008616A3">
        <w:rPr>
          <w:rFonts w:asciiTheme="majorHAnsi" w:hAnsiTheme="majorHAnsi" w:cstheme="majorHAnsi"/>
        </w:rPr>
        <w:t>Les couples mis en jeu lors de cette réaction d’oxydoréduction sont</w:t>
      </w:r>
      <w:r>
        <w:t xml:space="preserve"> </w:t>
      </w:r>
      <w:r w:rsidR="00547565" w:rsidRPr="002B6F85">
        <w:rPr>
          <w:rFonts w:ascii="Times New Roman" w:hAnsi="Times New Roman" w:cs="Times New Roman"/>
        </w:rPr>
        <w:t>I</w:t>
      </w:r>
      <w:r w:rsidR="00547565" w:rsidRPr="00A53F2A">
        <w:rPr>
          <w:rFonts w:asciiTheme="majorHAnsi" w:hAnsiTheme="majorHAnsi" w:cstheme="majorHAnsi"/>
          <w:vertAlign w:val="subscript"/>
        </w:rPr>
        <w:t>2 (aq)</w:t>
      </w:r>
      <w:r w:rsidR="00547565">
        <w:t xml:space="preserve"> /</w:t>
      </w:r>
      <w:r w:rsidRPr="002B6F85">
        <w:rPr>
          <w:rFonts w:ascii="Times New Roman" w:hAnsi="Times New Roman" w:cs="Times New Roman"/>
        </w:rPr>
        <w:t>I</w:t>
      </w:r>
      <w:r w:rsidRPr="00A53F2A">
        <w:rPr>
          <w:rFonts w:asciiTheme="majorHAnsi" w:hAnsiTheme="majorHAnsi" w:cstheme="majorHAnsi"/>
          <w:vertAlign w:val="superscript"/>
        </w:rPr>
        <w:t>-</w:t>
      </w:r>
      <w:r w:rsidR="00C71888" w:rsidRPr="00A53F2A">
        <w:rPr>
          <w:rFonts w:asciiTheme="majorHAnsi" w:hAnsiTheme="majorHAnsi" w:cstheme="majorHAnsi"/>
          <w:vertAlign w:val="subscript"/>
        </w:rPr>
        <w:t>(aq)</w:t>
      </w:r>
      <w:r w:rsidR="00C71888">
        <w:t xml:space="preserve"> </w:t>
      </w:r>
      <w:r w:rsidRPr="00D83705">
        <w:rPr>
          <w:rFonts w:asciiTheme="majorHAnsi" w:hAnsiTheme="majorHAnsi" w:cstheme="majorHAnsi"/>
        </w:rPr>
        <w:t xml:space="preserve">et </w:t>
      </w:r>
      <w:r w:rsidR="00547565" w:rsidRPr="00D83705">
        <w:rPr>
          <w:rFonts w:asciiTheme="majorHAnsi" w:hAnsiTheme="majorHAnsi" w:cstheme="majorHAnsi"/>
        </w:rPr>
        <w:t>S</w:t>
      </w:r>
      <w:r w:rsidR="00547565" w:rsidRPr="00D83705">
        <w:rPr>
          <w:rFonts w:asciiTheme="majorHAnsi" w:hAnsiTheme="majorHAnsi" w:cstheme="majorHAnsi"/>
          <w:vertAlign w:val="subscript"/>
        </w:rPr>
        <w:t>4</w:t>
      </w:r>
      <w:r w:rsidR="00547565" w:rsidRPr="00D83705">
        <w:rPr>
          <w:rFonts w:asciiTheme="majorHAnsi" w:hAnsiTheme="majorHAnsi" w:cstheme="majorHAnsi"/>
        </w:rPr>
        <w:t>O</w:t>
      </w:r>
      <w:r w:rsidR="00547565" w:rsidRPr="00D83705">
        <w:rPr>
          <w:rFonts w:asciiTheme="majorHAnsi" w:hAnsiTheme="majorHAnsi" w:cstheme="majorHAnsi"/>
          <w:vertAlign w:val="subscript"/>
        </w:rPr>
        <w:t>6</w:t>
      </w:r>
      <w:r w:rsidR="00547565" w:rsidRPr="00D83705">
        <w:rPr>
          <w:rFonts w:asciiTheme="majorHAnsi" w:hAnsiTheme="majorHAnsi" w:cstheme="majorHAnsi"/>
          <w:vertAlign w:val="superscript"/>
        </w:rPr>
        <w:t>2-</w:t>
      </w:r>
      <w:r w:rsidR="00547565" w:rsidRPr="00D83705">
        <w:rPr>
          <w:rFonts w:asciiTheme="majorHAnsi" w:hAnsiTheme="majorHAnsi" w:cstheme="majorHAnsi"/>
          <w:vertAlign w:val="subscript"/>
        </w:rPr>
        <w:t>(</w:t>
      </w:r>
      <w:proofErr w:type="gramStart"/>
      <w:r w:rsidR="00547565" w:rsidRPr="00D83705">
        <w:rPr>
          <w:rFonts w:asciiTheme="majorHAnsi" w:hAnsiTheme="majorHAnsi" w:cstheme="majorHAnsi"/>
          <w:vertAlign w:val="subscript"/>
        </w:rPr>
        <w:t>aq)</w:t>
      </w:r>
      <w:r w:rsidR="00547565" w:rsidRPr="00547565">
        <w:rPr>
          <w:rFonts w:asciiTheme="majorHAnsi" w:hAnsiTheme="majorHAnsi" w:cstheme="majorHAnsi"/>
        </w:rPr>
        <w:t>/</w:t>
      </w:r>
      <w:proofErr w:type="gramEnd"/>
      <w:r w:rsidRPr="00D83705">
        <w:rPr>
          <w:rFonts w:asciiTheme="majorHAnsi" w:hAnsiTheme="majorHAnsi" w:cstheme="majorHAnsi"/>
        </w:rPr>
        <w:t>S</w:t>
      </w:r>
      <w:r w:rsidRPr="00D83705">
        <w:rPr>
          <w:rFonts w:asciiTheme="majorHAnsi" w:hAnsiTheme="majorHAnsi" w:cstheme="majorHAnsi"/>
          <w:vertAlign w:val="subscript"/>
        </w:rPr>
        <w:t>2</w:t>
      </w:r>
      <w:r w:rsidRPr="00D83705">
        <w:rPr>
          <w:rFonts w:asciiTheme="majorHAnsi" w:hAnsiTheme="majorHAnsi" w:cstheme="majorHAnsi"/>
        </w:rPr>
        <w:t>O</w:t>
      </w:r>
      <w:r w:rsidRPr="00D83705">
        <w:rPr>
          <w:rFonts w:asciiTheme="majorHAnsi" w:hAnsiTheme="majorHAnsi" w:cstheme="majorHAnsi"/>
          <w:vertAlign w:val="subscript"/>
        </w:rPr>
        <w:t>3</w:t>
      </w:r>
      <w:r w:rsidRPr="00D83705">
        <w:rPr>
          <w:rFonts w:asciiTheme="majorHAnsi" w:hAnsiTheme="majorHAnsi" w:cstheme="majorHAnsi"/>
          <w:vertAlign w:val="superscript"/>
        </w:rPr>
        <w:t>2-</w:t>
      </w:r>
      <w:r w:rsidR="00C71888" w:rsidRPr="00D83705">
        <w:rPr>
          <w:rFonts w:asciiTheme="majorHAnsi" w:hAnsiTheme="majorHAnsi" w:cstheme="majorHAnsi"/>
          <w:vertAlign w:val="subscript"/>
        </w:rPr>
        <w:t>(aq)</w:t>
      </w:r>
      <w:r w:rsidR="009E7644">
        <w:rPr>
          <w:rFonts w:asciiTheme="majorHAnsi" w:hAnsiTheme="majorHAnsi" w:cstheme="majorHAnsi"/>
        </w:rPr>
        <w:t>.</w:t>
      </w:r>
    </w:p>
    <w:p w14:paraId="103F514B" w14:textId="77777777" w:rsidR="00F4062B" w:rsidRPr="00FB3BB6" w:rsidRDefault="00E0770C" w:rsidP="00C71888">
      <w:pPr>
        <w:jc w:val="both"/>
        <w:rPr>
          <w:rFonts w:asciiTheme="majorHAnsi" w:hAnsiTheme="majorHAnsi" w:cstheme="majorHAnsi"/>
          <w:sz w:val="28"/>
          <w:szCs w:val="28"/>
        </w:rPr>
      </w:pPr>
      <w:r w:rsidRPr="00E0770C">
        <w:br/>
      </w:r>
      <w:r w:rsidR="00F4062B" w:rsidRPr="00F8448E">
        <w:rPr>
          <w:rFonts w:asciiTheme="majorHAnsi" w:hAnsiTheme="majorHAnsi" w:cstheme="majorHAnsi"/>
          <w:b/>
          <w:bCs/>
          <w:sz w:val="28"/>
          <w:szCs w:val="28"/>
        </w:rPr>
        <w:t>Protocole expérimentale</w:t>
      </w:r>
    </w:p>
    <w:p w14:paraId="681E54E1" w14:textId="77777777" w:rsidR="00C71888" w:rsidRPr="008616A3" w:rsidRDefault="00E0770C" w:rsidP="008616A3">
      <w:pPr>
        <w:pStyle w:val="Paragraphedeliste"/>
        <w:numPr>
          <w:ilvl w:val="0"/>
          <w:numId w:val="3"/>
        </w:numPr>
        <w:jc w:val="both"/>
        <w:rPr>
          <w:rFonts w:asciiTheme="majorHAnsi" w:hAnsiTheme="majorHAnsi" w:cstheme="majorHAnsi"/>
        </w:rPr>
      </w:pPr>
      <w:r w:rsidRPr="008616A3">
        <w:rPr>
          <w:rFonts w:asciiTheme="majorHAnsi" w:hAnsiTheme="majorHAnsi" w:cstheme="majorHAnsi"/>
        </w:rPr>
        <w:t>Préparation de la solution à doser :</w:t>
      </w:r>
    </w:p>
    <w:p w14:paraId="6EAB2323" w14:textId="77777777" w:rsidR="00C71888" w:rsidRPr="008616A3" w:rsidRDefault="0061321B" w:rsidP="00C71888">
      <w:pPr>
        <w:jc w:val="both"/>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 xml:space="preserve">Rincer l’erlenmeyer à l’eau distillée et la pipette </w:t>
      </w:r>
      <w:r w:rsidR="0068196F" w:rsidRPr="008616A3">
        <w:rPr>
          <w:rFonts w:asciiTheme="majorHAnsi" w:hAnsiTheme="majorHAnsi" w:cstheme="majorHAnsi"/>
        </w:rPr>
        <w:t xml:space="preserve">avec la solution de </w:t>
      </w:r>
      <w:r w:rsidR="009A658C" w:rsidRPr="008616A3">
        <w:rPr>
          <w:rFonts w:asciiTheme="majorHAnsi" w:hAnsiTheme="majorHAnsi" w:cstheme="majorHAnsi"/>
        </w:rPr>
        <w:t>B</w:t>
      </w:r>
      <w:r w:rsidR="0068196F" w:rsidRPr="008616A3">
        <w:rPr>
          <w:rFonts w:asciiTheme="majorHAnsi" w:hAnsiTheme="majorHAnsi" w:cstheme="majorHAnsi"/>
        </w:rPr>
        <w:t>étadine diluée</w:t>
      </w:r>
      <w:r w:rsidR="00E0770C" w:rsidRPr="008616A3">
        <w:rPr>
          <w:rFonts w:asciiTheme="majorHAnsi" w:hAnsiTheme="majorHAnsi" w:cstheme="majorHAnsi"/>
        </w:rPr>
        <w:t>. </w:t>
      </w:r>
    </w:p>
    <w:p w14:paraId="366FE908" w14:textId="77777777" w:rsidR="00C71888" w:rsidRPr="008616A3" w:rsidRDefault="00FD5127" w:rsidP="00C71888">
      <w:pPr>
        <w:jc w:val="both"/>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Prélever, à l’aide d</w:t>
      </w:r>
      <w:r w:rsidR="00AD1528">
        <w:rPr>
          <w:rFonts w:asciiTheme="majorHAnsi" w:hAnsiTheme="majorHAnsi" w:cstheme="majorHAnsi"/>
        </w:rPr>
        <w:t>’une</w:t>
      </w:r>
      <w:r w:rsidR="00E0770C" w:rsidRPr="008616A3">
        <w:rPr>
          <w:rFonts w:asciiTheme="majorHAnsi" w:hAnsiTheme="majorHAnsi" w:cstheme="majorHAnsi"/>
        </w:rPr>
        <w:t xml:space="preserve"> pipette</w:t>
      </w:r>
      <w:r w:rsidR="00AD1528">
        <w:rPr>
          <w:rFonts w:asciiTheme="majorHAnsi" w:hAnsiTheme="majorHAnsi" w:cstheme="majorHAnsi"/>
        </w:rPr>
        <w:t xml:space="preserve"> jaugée</w:t>
      </w:r>
      <w:r w:rsidR="00A033D5" w:rsidRPr="008616A3">
        <w:rPr>
          <w:rFonts w:asciiTheme="majorHAnsi" w:hAnsiTheme="majorHAnsi" w:cstheme="majorHAnsi"/>
        </w:rPr>
        <w:t>,</w:t>
      </w:r>
      <w:r w:rsidR="00E0770C" w:rsidRPr="008616A3">
        <w:rPr>
          <w:rFonts w:asciiTheme="majorHAnsi" w:hAnsiTheme="majorHAnsi" w:cstheme="majorHAnsi"/>
        </w:rPr>
        <w:t xml:space="preserve"> V</w:t>
      </w:r>
      <w:r w:rsidR="00E0770C" w:rsidRPr="008616A3">
        <w:rPr>
          <w:rFonts w:asciiTheme="majorHAnsi" w:hAnsiTheme="majorHAnsi" w:cstheme="majorHAnsi"/>
          <w:vertAlign w:val="subscript"/>
        </w:rPr>
        <w:t>1</w:t>
      </w:r>
      <w:r w:rsidR="00E0770C" w:rsidRPr="008616A3">
        <w:rPr>
          <w:rFonts w:asciiTheme="majorHAnsi" w:hAnsiTheme="majorHAnsi" w:cstheme="majorHAnsi"/>
        </w:rPr>
        <w:t xml:space="preserve"> = 10 mL de </w:t>
      </w:r>
      <w:r w:rsidR="0081665D" w:rsidRPr="008616A3">
        <w:rPr>
          <w:rFonts w:asciiTheme="majorHAnsi" w:hAnsiTheme="majorHAnsi" w:cstheme="majorHAnsi"/>
        </w:rPr>
        <w:t>solution diluée</w:t>
      </w:r>
      <w:r w:rsidR="00E0770C" w:rsidRPr="008616A3">
        <w:rPr>
          <w:rFonts w:asciiTheme="majorHAnsi" w:hAnsiTheme="majorHAnsi" w:cstheme="majorHAnsi"/>
        </w:rPr>
        <w:t xml:space="preserve"> et les verser dans l’erlenmeyer. </w:t>
      </w:r>
      <w:r w:rsidR="00E0770C" w:rsidRPr="008616A3">
        <w:rPr>
          <w:rFonts w:asciiTheme="majorHAnsi" w:hAnsiTheme="majorHAnsi" w:cstheme="majorHAnsi"/>
        </w:rPr>
        <w:br/>
      </w:r>
      <w:r w:rsidRPr="008616A3">
        <w:rPr>
          <w:rFonts w:asciiTheme="majorHAnsi" w:hAnsiTheme="majorHAnsi" w:cstheme="majorHAnsi"/>
        </w:rPr>
        <w:t xml:space="preserve">- </w:t>
      </w:r>
      <w:r w:rsidR="00E0770C" w:rsidRPr="008616A3">
        <w:rPr>
          <w:rFonts w:asciiTheme="majorHAnsi" w:hAnsiTheme="majorHAnsi" w:cstheme="majorHAnsi"/>
        </w:rPr>
        <w:t xml:space="preserve">Ajouter </w:t>
      </w:r>
      <w:r w:rsidR="0068196F" w:rsidRPr="008616A3">
        <w:rPr>
          <w:rFonts w:asciiTheme="majorHAnsi" w:hAnsiTheme="majorHAnsi" w:cstheme="majorHAnsi"/>
        </w:rPr>
        <w:t xml:space="preserve">environ </w:t>
      </w:r>
      <w:r w:rsidR="00E0770C" w:rsidRPr="008616A3">
        <w:rPr>
          <w:rFonts w:asciiTheme="majorHAnsi" w:hAnsiTheme="majorHAnsi" w:cstheme="majorHAnsi"/>
        </w:rPr>
        <w:t>20 mL d’eau</w:t>
      </w:r>
      <w:r w:rsidRPr="008616A3">
        <w:rPr>
          <w:rFonts w:asciiTheme="majorHAnsi" w:hAnsiTheme="majorHAnsi" w:cstheme="majorHAnsi"/>
        </w:rPr>
        <w:t>.</w:t>
      </w:r>
    </w:p>
    <w:p w14:paraId="7E4BA05C" w14:textId="77777777" w:rsidR="00AA4E5F" w:rsidRPr="008616A3" w:rsidRDefault="00AA4E5F" w:rsidP="00C71888">
      <w:pPr>
        <w:jc w:val="both"/>
        <w:rPr>
          <w:rFonts w:asciiTheme="majorHAnsi" w:hAnsiTheme="majorHAnsi" w:cstheme="majorHAnsi"/>
        </w:rPr>
      </w:pPr>
    </w:p>
    <w:p w14:paraId="3653DC10" w14:textId="77777777" w:rsidR="00C71888" w:rsidRPr="008616A3" w:rsidRDefault="00E0770C" w:rsidP="008616A3">
      <w:pPr>
        <w:pStyle w:val="Paragraphedeliste"/>
        <w:numPr>
          <w:ilvl w:val="0"/>
          <w:numId w:val="3"/>
        </w:numPr>
        <w:jc w:val="both"/>
        <w:rPr>
          <w:rFonts w:asciiTheme="majorHAnsi" w:hAnsiTheme="majorHAnsi" w:cstheme="majorHAnsi"/>
        </w:rPr>
      </w:pPr>
      <w:r w:rsidRPr="008616A3">
        <w:rPr>
          <w:rFonts w:asciiTheme="majorHAnsi" w:hAnsiTheme="majorHAnsi" w:cstheme="majorHAnsi"/>
        </w:rPr>
        <w:t>Préparation de la solution titrante :</w:t>
      </w:r>
    </w:p>
    <w:p w14:paraId="4A2E285B" w14:textId="77777777" w:rsidR="00C71888" w:rsidRPr="008616A3" w:rsidRDefault="00FD5127" w:rsidP="00C71888">
      <w:pPr>
        <w:jc w:val="both"/>
        <w:rPr>
          <w:rFonts w:asciiTheme="majorHAnsi" w:hAnsiTheme="majorHAnsi" w:cstheme="majorHAnsi"/>
        </w:rPr>
      </w:pPr>
      <w:r w:rsidRPr="008616A3">
        <w:rPr>
          <w:rFonts w:asciiTheme="majorHAnsi" w:hAnsiTheme="majorHAnsi" w:cstheme="majorHAnsi"/>
        </w:rPr>
        <w:t>- R</w:t>
      </w:r>
      <w:r w:rsidR="00E0770C" w:rsidRPr="008616A3">
        <w:rPr>
          <w:rFonts w:asciiTheme="majorHAnsi" w:hAnsiTheme="majorHAnsi" w:cstheme="majorHAnsi"/>
        </w:rPr>
        <w:t>incer</w:t>
      </w:r>
      <w:r w:rsidR="001607AA" w:rsidRPr="008616A3">
        <w:rPr>
          <w:rFonts w:asciiTheme="majorHAnsi" w:hAnsiTheme="majorHAnsi" w:cstheme="majorHAnsi"/>
        </w:rPr>
        <w:t xml:space="preserve"> </w:t>
      </w:r>
      <w:r w:rsidRPr="008616A3">
        <w:rPr>
          <w:rFonts w:asciiTheme="majorHAnsi" w:hAnsiTheme="majorHAnsi" w:cstheme="majorHAnsi"/>
        </w:rPr>
        <w:t>la burette</w:t>
      </w:r>
      <w:r w:rsidR="00E0770C" w:rsidRPr="008616A3">
        <w:rPr>
          <w:rFonts w:asciiTheme="majorHAnsi" w:hAnsiTheme="majorHAnsi" w:cstheme="majorHAnsi"/>
        </w:rPr>
        <w:t xml:space="preserve"> avec la solution de thiosulfate</w:t>
      </w:r>
      <w:r w:rsidR="007D7EE7" w:rsidRPr="008616A3">
        <w:rPr>
          <w:rFonts w:asciiTheme="majorHAnsi" w:hAnsiTheme="majorHAnsi" w:cstheme="majorHAnsi"/>
        </w:rPr>
        <w:t xml:space="preserve"> de sodium</w:t>
      </w:r>
      <w:r w:rsidR="00E0770C" w:rsidRPr="008616A3">
        <w:rPr>
          <w:rFonts w:asciiTheme="majorHAnsi" w:hAnsiTheme="majorHAnsi" w:cstheme="majorHAnsi"/>
        </w:rPr>
        <w:t>. </w:t>
      </w:r>
    </w:p>
    <w:p w14:paraId="67CEFD07" w14:textId="77777777" w:rsidR="00AC25C4" w:rsidRPr="008616A3" w:rsidRDefault="00FD5127" w:rsidP="00C71888">
      <w:pPr>
        <w:jc w:val="both"/>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La remplir et ajuster le niveau à zéro</w:t>
      </w:r>
    </w:p>
    <w:p w14:paraId="0ACDEACF" w14:textId="77777777" w:rsidR="00C71888" w:rsidRPr="008616A3" w:rsidRDefault="00272653" w:rsidP="008616A3">
      <w:pPr>
        <w:pStyle w:val="Paragraphedeliste"/>
        <w:numPr>
          <w:ilvl w:val="0"/>
          <w:numId w:val="3"/>
        </w:numPr>
        <w:jc w:val="both"/>
        <w:rPr>
          <w:rFonts w:asciiTheme="majorHAnsi" w:hAnsiTheme="majorHAnsi" w:cstheme="majorHAnsi"/>
        </w:rPr>
      </w:pPr>
      <w:r w:rsidRPr="008616A3">
        <w:rPr>
          <w:rFonts w:asciiTheme="majorHAnsi" w:hAnsiTheme="majorHAnsi" w:cstheme="majorHAnsi"/>
        </w:rPr>
        <w:lastRenderedPageBreak/>
        <w:t>Titrage</w:t>
      </w:r>
      <w:r w:rsidR="00E0770C" w:rsidRPr="008616A3">
        <w:rPr>
          <w:rFonts w:asciiTheme="majorHAnsi" w:hAnsiTheme="majorHAnsi" w:cstheme="majorHAnsi"/>
        </w:rPr>
        <w:t xml:space="preserve"> :</w:t>
      </w:r>
    </w:p>
    <w:p w14:paraId="18B5C4F1" w14:textId="77777777" w:rsidR="00C71888" w:rsidRPr="008616A3" w:rsidRDefault="00FD5127" w:rsidP="00C71888">
      <w:pPr>
        <w:jc w:val="both"/>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Placer l’erlen</w:t>
      </w:r>
      <w:r w:rsidRPr="008616A3">
        <w:rPr>
          <w:rFonts w:asciiTheme="majorHAnsi" w:hAnsiTheme="majorHAnsi" w:cstheme="majorHAnsi"/>
        </w:rPr>
        <w:t>meyer</w:t>
      </w:r>
      <w:r w:rsidR="00E0770C" w:rsidRPr="008616A3">
        <w:rPr>
          <w:rFonts w:asciiTheme="majorHAnsi" w:hAnsiTheme="majorHAnsi" w:cstheme="majorHAnsi"/>
        </w:rPr>
        <w:t xml:space="preserve"> avec l’agitateur magnétique sous la burette. </w:t>
      </w:r>
    </w:p>
    <w:p w14:paraId="10511ECE" w14:textId="77777777" w:rsidR="00C71888" w:rsidRPr="008616A3" w:rsidRDefault="00FD5127" w:rsidP="00C71888">
      <w:pPr>
        <w:jc w:val="both"/>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Mettre entre les deux un papier blanc pour mieux observer les couleurs. </w:t>
      </w:r>
    </w:p>
    <w:p w14:paraId="131782BB" w14:textId="77777777" w:rsidR="0081665D" w:rsidRPr="008616A3" w:rsidRDefault="0081665D" w:rsidP="00C71888">
      <w:pPr>
        <w:jc w:val="both"/>
        <w:rPr>
          <w:rFonts w:asciiTheme="majorHAnsi" w:hAnsiTheme="majorHAnsi" w:cstheme="majorHAnsi"/>
        </w:rPr>
      </w:pPr>
      <w:r w:rsidRPr="008616A3">
        <w:rPr>
          <w:rFonts w:asciiTheme="majorHAnsi" w:hAnsiTheme="majorHAnsi" w:cstheme="majorHAnsi"/>
        </w:rPr>
        <w:t>- Démarrer l’agitation magnétique.</w:t>
      </w:r>
    </w:p>
    <w:p w14:paraId="07FEF4C3" w14:textId="77777777" w:rsidR="0081665D" w:rsidRPr="008616A3" w:rsidRDefault="0081665D" w:rsidP="0081665D">
      <w:pPr>
        <w:pStyle w:val="Sansinterligne"/>
        <w:rPr>
          <w:rFonts w:asciiTheme="majorHAnsi" w:hAnsiTheme="majorHAnsi" w:cstheme="majorHAnsi"/>
        </w:rPr>
      </w:pPr>
      <w:r w:rsidRPr="008616A3">
        <w:rPr>
          <w:rFonts w:asciiTheme="majorHAnsi" w:hAnsiTheme="majorHAnsi" w:cstheme="majorHAnsi"/>
        </w:rPr>
        <w:t xml:space="preserve">- Faire couler la solution de thiosulfate de sodium mL par mL tant que la coloration du diiode persiste nettement. Puis goutte à goutte jusqu’à obtenir une coloration jaune paille de la solution. </w:t>
      </w:r>
    </w:p>
    <w:p w14:paraId="5B00927D" w14:textId="77777777" w:rsidR="0081665D" w:rsidRPr="008616A3" w:rsidRDefault="0081665D" w:rsidP="00C71888">
      <w:pPr>
        <w:jc w:val="both"/>
        <w:rPr>
          <w:rFonts w:asciiTheme="majorHAnsi" w:hAnsiTheme="majorHAnsi" w:cstheme="majorHAnsi"/>
        </w:rPr>
      </w:pPr>
      <w:r w:rsidRPr="008616A3">
        <w:rPr>
          <w:rFonts w:asciiTheme="majorHAnsi" w:hAnsiTheme="majorHAnsi" w:cstheme="majorHAnsi"/>
        </w:rPr>
        <w:t xml:space="preserve">- Ajouter alors </w:t>
      </w:r>
      <w:r w:rsidR="00951016" w:rsidRPr="008616A3">
        <w:rPr>
          <w:rFonts w:asciiTheme="majorHAnsi" w:hAnsiTheme="majorHAnsi" w:cstheme="majorHAnsi"/>
        </w:rPr>
        <w:t xml:space="preserve">quelques gouttes </w:t>
      </w:r>
      <w:r w:rsidRPr="008616A3">
        <w:rPr>
          <w:rFonts w:asciiTheme="majorHAnsi" w:hAnsiTheme="majorHAnsi" w:cstheme="majorHAnsi"/>
        </w:rPr>
        <w:t>d’empois d’amidon</w:t>
      </w:r>
      <w:r w:rsidR="00951016" w:rsidRPr="008616A3">
        <w:rPr>
          <w:rFonts w:asciiTheme="majorHAnsi" w:hAnsiTheme="majorHAnsi" w:cstheme="majorHAnsi"/>
        </w:rPr>
        <w:t>.</w:t>
      </w:r>
    </w:p>
    <w:p w14:paraId="4EF28CD7" w14:textId="77777777" w:rsidR="00FB71CA" w:rsidRDefault="00FD5127" w:rsidP="00FB71CA">
      <w:pPr>
        <w:spacing w:line="360" w:lineRule="auto"/>
        <w:rPr>
          <w:rFonts w:asciiTheme="majorHAnsi" w:hAnsiTheme="majorHAnsi" w:cstheme="majorHAnsi"/>
        </w:rPr>
      </w:pPr>
      <w:r w:rsidRPr="008616A3">
        <w:rPr>
          <w:rFonts w:asciiTheme="majorHAnsi" w:hAnsiTheme="majorHAnsi" w:cstheme="majorHAnsi"/>
        </w:rPr>
        <w:t xml:space="preserve">- </w:t>
      </w:r>
      <w:r w:rsidR="00E0770C" w:rsidRPr="008616A3">
        <w:rPr>
          <w:rFonts w:asciiTheme="majorHAnsi" w:hAnsiTheme="majorHAnsi" w:cstheme="majorHAnsi"/>
        </w:rPr>
        <w:t>Continuer à verser jusqu’à ce que la solution devienne incolore et noter le volume de thiosulfate versé</w:t>
      </w:r>
      <w:r w:rsidR="009705CA">
        <w:rPr>
          <w:rFonts w:asciiTheme="majorHAnsi" w:hAnsiTheme="majorHAnsi" w:cstheme="majorHAnsi"/>
        </w:rPr>
        <w:t> :</w:t>
      </w:r>
    </w:p>
    <w:p w14:paraId="4000A159" w14:textId="231DF2A6" w:rsidR="0081665D" w:rsidRPr="009705CA" w:rsidRDefault="00000000" w:rsidP="00FB71CA">
      <w:pPr>
        <w:spacing w:line="360" w:lineRule="auto"/>
        <w:jc w:val="center"/>
        <w:rPr>
          <w:rFonts w:asciiTheme="majorHAnsi" w:hAnsiTheme="majorHAnsi" w:cstheme="majorHAnsi"/>
        </w:rPr>
      </w:pPr>
      <m:oMath>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eq</m:t>
            </m:r>
          </m:sub>
        </m:sSub>
        <m:r>
          <w:rPr>
            <w:rFonts w:ascii="Cambria Math" w:hAnsi="Cambria Math" w:cstheme="majorHAnsi"/>
          </w:rPr>
          <m:t>=</m:t>
        </m:r>
      </m:oMath>
      <w:r w:rsidR="009705CA">
        <w:rPr>
          <w:rFonts w:asciiTheme="majorHAnsi" w:eastAsiaTheme="minorEastAsia" w:hAnsiTheme="majorHAnsi" w:cstheme="majorHAnsi"/>
        </w:rPr>
        <w:t xml:space="preserve"> ………………………</w:t>
      </w:r>
    </w:p>
    <w:p w14:paraId="500690A4" w14:textId="77777777" w:rsidR="009705CA" w:rsidRPr="009705CA" w:rsidRDefault="009705CA" w:rsidP="0081665D">
      <w:pPr>
        <w:jc w:val="both"/>
        <w:rPr>
          <w:rFonts w:asciiTheme="majorHAnsi" w:hAnsiTheme="majorHAnsi" w:cstheme="majorHAnsi"/>
          <w:sz w:val="16"/>
          <w:szCs w:val="16"/>
        </w:rPr>
      </w:pPr>
    </w:p>
    <w:p w14:paraId="733AA84C" w14:textId="40A333CA" w:rsidR="00CB3266" w:rsidRPr="008616A3" w:rsidRDefault="0081665D" w:rsidP="0081665D">
      <w:pPr>
        <w:jc w:val="both"/>
        <w:rPr>
          <w:rFonts w:asciiTheme="majorHAnsi" w:hAnsiTheme="majorHAnsi" w:cstheme="majorHAnsi"/>
        </w:rPr>
      </w:pPr>
      <w:r w:rsidRPr="008616A3">
        <w:rPr>
          <w:rFonts w:asciiTheme="majorHAnsi" w:hAnsiTheme="majorHAnsi" w:cstheme="majorHAnsi"/>
        </w:rPr>
        <w:t>Si le volume a été trouvé avec suffisamment de précision, passer à l’exploitation</w:t>
      </w:r>
      <w:r w:rsidR="00CB3266" w:rsidRPr="008616A3">
        <w:rPr>
          <w:rFonts w:asciiTheme="majorHAnsi" w:hAnsiTheme="majorHAnsi" w:cstheme="majorHAnsi"/>
        </w:rPr>
        <w:t>. Si non, refaire un deuxième titrage plus précis :</w:t>
      </w:r>
    </w:p>
    <w:p w14:paraId="2C576B10" w14:textId="77777777" w:rsidR="0081665D" w:rsidRPr="008616A3" w:rsidRDefault="00CB3266" w:rsidP="00CB3266">
      <w:pPr>
        <w:pStyle w:val="Sansinterligne"/>
        <w:rPr>
          <w:rFonts w:asciiTheme="majorHAnsi" w:hAnsiTheme="majorHAnsi" w:cstheme="majorHAnsi"/>
        </w:rPr>
      </w:pPr>
      <w:r w:rsidRPr="008616A3">
        <w:rPr>
          <w:rStyle w:val="auto-style6"/>
          <w:rFonts w:asciiTheme="majorHAnsi" w:hAnsiTheme="majorHAnsi" w:cstheme="majorHAnsi"/>
          <w:color w:val="000000"/>
        </w:rPr>
        <w:t>- Verser d’un seul coup un volume</w:t>
      </w:r>
      <w:r w:rsidRPr="008616A3">
        <w:rPr>
          <w:rStyle w:val="apple-converted-space"/>
          <w:rFonts w:asciiTheme="majorHAnsi" w:hAnsiTheme="majorHAnsi" w:cstheme="majorHAnsi"/>
          <w:color w:val="000000"/>
        </w:rPr>
        <w:t> </w:t>
      </w:r>
      <w:r w:rsidRPr="008616A3">
        <w:rPr>
          <w:rStyle w:val="auto-style3"/>
          <w:rFonts w:asciiTheme="majorHAnsi" w:hAnsiTheme="majorHAnsi" w:cstheme="majorHAnsi"/>
          <w:color w:val="000000"/>
        </w:rPr>
        <w:t>V</w:t>
      </w:r>
      <w:r w:rsidRPr="008616A3">
        <w:rPr>
          <w:rStyle w:val="apple-converted-space"/>
          <w:rFonts w:asciiTheme="majorHAnsi" w:hAnsiTheme="majorHAnsi" w:cstheme="majorHAnsi"/>
          <w:color w:val="000000"/>
        </w:rPr>
        <w:t> </w:t>
      </w:r>
      <w:r w:rsidRPr="008616A3">
        <w:rPr>
          <w:rStyle w:val="auto-style2"/>
          <w:rFonts w:asciiTheme="majorHAnsi" w:hAnsiTheme="majorHAnsi" w:cstheme="majorHAnsi"/>
          <w:color w:val="000000"/>
        </w:rPr>
        <w:t>– 2 mL de réactif titrant.</w:t>
      </w:r>
      <w:r w:rsidRPr="008616A3">
        <w:rPr>
          <w:rFonts w:asciiTheme="majorHAnsi" w:hAnsiTheme="majorHAnsi" w:cstheme="majorHAnsi"/>
        </w:rPr>
        <w:t xml:space="preserve"> </w:t>
      </w:r>
    </w:p>
    <w:p w14:paraId="30B31D9B" w14:textId="77777777" w:rsidR="00CB3266" w:rsidRPr="008616A3" w:rsidRDefault="00CB3266" w:rsidP="00CB3266">
      <w:pPr>
        <w:pStyle w:val="Sansinterligne"/>
        <w:rPr>
          <w:rFonts w:asciiTheme="majorHAnsi" w:hAnsiTheme="majorHAnsi" w:cstheme="majorHAnsi"/>
        </w:rPr>
      </w:pPr>
      <w:r w:rsidRPr="008616A3">
        <w:rPr>
          <w:rFonts w:asciiTheme="majorHAnsi" w:hAnsiTheme="majorHAnsi" w:cstheme="majorHAnsi"/>
        </w:rPr>
        <w:t>-</w:t>
      </w:r>
      <w:r w:rsidRPr="008616A3">
        <w:rPr>
          <w:rStyle w:val="auto-style6"/>
          <w:rFonts w:asciiTheme="majorHAnsi" w:hAnsiTheme="majorHAnsi" w:cstheme="majorHAnsi"/>
          <w:color w:val="000000"/>
        </w:rPr>
        <w:t> Continuer ensuite goutte à goutte jusqu’au changement de couleur.</w:t>
      </w:r>
    </w:p>
    <w:p w14:paraId="62838026" w14:textId="77777777" w:rsidR="00C71888" w:rsidRDefault="00C71888" w:rsidP="00C71888">
      <w:pPr>
        <w:jc w:val="both"/>
      </w:pPr>
    </w:p>
    <w:p w14:paraId="69D81E86" w14:textId="77777777" w:rsidR="00D05A46" w:rsidRPr="00714CD1" w:rsidRDefault="001765A8" w:rsidP="005C4F6C">
      <w:pPr>
        <w:jc w:val="both"/>
        <w:rPr>
          <w:rFonts w:asciiTheme="majorHAnsi" w:hAnsiTheme="majorHAnsi" w:cstheme="majorHAnsi"/>
          <w:b/>
          <w:bCs/>
        </w:rPr>
      </w:pPr>
      <w:r w:rsidRPr="00714CD1">
        <w:rPr>
          <w:rFonts w:asciiTheme="majorHAnsi" w:hAnsiTheme="majorHAnsi" w:cstheme="majorHAnsi"/>
          <w:b/>
          <w:bCs/>
        </w:rPr>
        <w:t>Exploitation du titrage</w:t>
      </w:r>
    </w:p>
    <w:p w14:paraId="3C886248" w14:textId="77777777" w:rsidR="00AE159B" w:rsidRPr="00AA4E5F" w:rsidRDefault="000211E4" w:rsidP="00AA4E5F">
      <w:pPr>
        <w:pStyle w:val="Paragraphedeliste"/>
        <w:numPr>
          <w:ilvl w:val="0"/>
          <w:numId w:val="1"/>
        </w:numPr>
        <w:spacing w:line="276" w:lineRule="auto"/>
        <w:jc w:val="both"/>
        <w:rPr>
          <w:rFonts w:asciiTheme="majorHAnsi" w:hAnsiTheme="majorHAnsi" w:cstheme="majorHAnsi"/>
        </w:rPr>
      </w:pPr>
      <w:r w:rsidRPr="000211E4">
        <w:rPr>
          <w:rStyle w:val="auto-style6"/>
          <w:rFonts w:asciiTheme="majorHAnsi" w:hAnsiTheme="majorHAnsi" w:cstheme="majorHAnsi"/>
          <w:color w:val="808080" w:themeColor="background1" w:themeShade="80"/>
        </w:rPr>
        <w:t>(</w:t>
      </w:r>
      <w:r>
        <w:rPr>
          <w:rStyle w:val="auto-style6"/>
          <w:rFonts w:asciiTheme="majorHAnsi" w:hAnsiTheme="majorHAnsi" w:cstheme="majorHAnsi"/>
          <w:color w:val="808080" w:themeColor="background1" w:themeShade="80"/>
        </w:rPr>
        <w:t>2</w:t>
      </w:r>
      <w:r w:rsidRPr="000211E4">
        <w:rPr>
          <w:rStyle w:val="auto-style6"/>
          <w:rFonts w:asciiTheme="majorHAnsi" w:hAnsiTheme="majorHAnsi" w:cstheme="majorHAnsi"/>
          <w:color w:val="808080" w:themeColor="background1" w:themeShade="80"/>
        </w:rPr>
        <w:t xml:space="preserve"> pt</w:t>
      </w:r>
      <w:r>
        <w:rPr>
          <w:rStyle w:val="auto-style6"/>
          <w:rFonts w:asciiTheme="majorHAnsi" w:hAnsiTheme="majorHAnsi" w:cstheme="majorHAnsi"/>
          <w:color w:val="808080" w:themeColor="background1" w:themeShade="80"/>
        </w:rPr>
        <w:t>s</w:t>
      </w:r>
      <w:r w:rsidRPr="000211E4">
        <w:rPr>
          <w:rStyle w:val="auto-style6"/>
          <w:rFonts w:asciiTheme="majorHAnsi" w:hAnsiTheme="majorHAnsi" w:cstheme="majorHAnsi"/>
          <w:color w:val="808080" w:themeColor="background1" w:themeShade="80"/>
        </w:rPr>
        <w:t xml:space="preserve">) </w:t>
      </w:r>
      <w:r w:rsidR="00AE159B" w:rsidRPr="00AA4E5F">
        <w:rPr>
          <w:rFonts w:asciiTheme="majorHAnsi" w:hAnsiTheme="majorHAnsi" w:cstheme="majorHAnsi"/>
        </w:rPr>
        <w:t>Schématiser et légender l’expérience.</w:t>
      </w:r>
    </w:p>
    <w:p w14:paraId="572F4590" w14:textId="77777777" w:rsidR="005C4F6C" w:rsidRPr="00AA4E5F" w:rsidRDefault="000211E4" w:rsidP="00AA4E5F">
      <w:pPr>
        <w:pStyle w:val="Sansinterligne"/>
        <w:numPr>
          <w:ilvl w:val="0"/>
          <w:numId w:val="1"/>
        </w:numPr>
        <w:spacing w:line="276" w:lineRule="auto"/>
        <w:jc w:val="both"/>
        <w:rPr>
          <w:rStyle w:val="auto-style6"/>
          <w:rFonts w:asciiTheme="majorHAnsi" w:hAnsiTheme="majorHAnsi" w:cstheme="majorHAnsi"/>
        </w:rPr>
      </w:pPr>
      <w:r w:rsidRPr="000211E4">
        <w:rPr>
          <w:rStyle w:val="auto-style6"/>
          <w:rFonts w:asciiTheme="majorHAnsi" w:hAnsiTheme="majorHAnsi" w:cstheme="majorHAnsi"/>
          <w:color w:val="808080" w:themeColor="background1" w:themeShade="80"/>
        </w:rPr>
        <w:t xml:space="preserve">(1 pt) </w:t>
      </w:r>
      <w:r w:rsidR="005C4F6C" w:rsidRPr="00AA4E5F">
        <w:rPr>
          <w:rStyle w:val="auto-style6"/>
          <w:rFonts w:asciiTheme="majorHAnsi" w:hAnsiTheme="majorHAnsi" w:cstheme="majorHAnsi"/>
          <w:color w:val="000000"/>
        </w:rPr>
        <w:t>Établir l’équation bilan de la réaction de titrage.</w:t>
      </w:r>
    </w:p>
    <w:p w14:paraId="4B8C843F" w14:textId="2CC31F8C" w:rsidR="00AD7788" w:rsidRPr="00AA4E5F" w:rsidRDefault="000211E4" w:rsidP="00AA4E5F">
      <w:pPr>
        <w:pStyle w:val="Sansinterligne"/>
        <w:numPr>
          <w:ilvl w:val="0"/>
          <w:numId w:val="1"/>
        </w:numPr>
        <w:spacing w:line="276" w:lineRule="auto"/>
        <w:jc w:val="both"/>
        <w:rPr>
          <w:rStyle w:val="auto-style6"/>
          <w:rFonts w:asciiTheme="majorHAnsi" w:hAnsiTheme="majorHAnsi" w:cstheme="majorHAnsi"/>
        </w:rPr>
      </w:pPr>
      <w:r w:rsidRPr="000211E4">
        <w:rPr>
          <w:rStyle w:val="auto-style6"/>
          <w:rFonts w:asciiTheme="majorHAnsi" w:hAnsiTheme="majorHAnsi" w:cstheme="majorHAnsi"/>
          <w:color w:val="808080" w:themeColor="background1" w:themeShade="80"/>
        </w:rPr>
        <w:t xml:space="preserve">(1 pt) </w:t>
      </w:r>
      <w:r w:rsidR="0061321B" w:rsidRPr="00AA4E5F">
        <w:rPr>
          <w:rStyle w:val="auto-style6"/>
          <w:rFonts w:asciiTheme="majorHAnsi" w:hAnsiTheme="majorHAnsi" w:cstheme="majorHAnsi"/>
          <w:color w:val="000000"/>
        </w:rPr>
        <w:t>Construire le tableau d’</w:t>
      </w:r>
      <w:r w:rsidR="005A4B07">
        <w:rPr>
          <w:rStyle w:val="auto-style6"/>
          <w:rFonts w:asciiTheme="majorHAnsi" w:hAnsiTheme="majorHAnsi" w:cstheme="majorHAnsi"/>
          <w:color w:val="000000"/>
        </w:rPr>
        <w:t>avancement</w:t>
      </w:r>
      <w:r w:rsidR="0061321B" w:rsidRPr="00AA4E5F">
        <w:rPr>
          <w:rStyle w:val="auto-style6"/>
          <w:rFonts w:asciiTheme="majorHAnsi" w:hAnsiTheme="majorHAnsi" w:cstheme="majorHAnsi"/>
          <w:color w:val="000000"/>
        </w:rPr>
        <w:t xml:space="preserve"> du système</w:t>
      </w:r>
      <w:r w:rsidR="0009640A" w:rsidRPr="00AA4E5F">
        <w:rPr>
          <w:rStyle w:val="auto-style6"/>
          <w:rFonts w:asciiTheme="majorHAnsi" w:hAnsiTheme="majorHAnsi" w:cstheme="majorHAnsi"/>
          <w:color w:val="000000"/>
        </w:rPr>
        <w:t>.</w:t>
      </w:r>
    </w:p>
    <w:p w14:paraId="68BA440B" w14:textId="77777777" w:rsidR="00DF38BF" w:rsidRPr="00AA4E5F" w:rsidRDefault="000211E4" w:rsidP="00AA4E5F">
      <w:pPr>
        <w:pStyle w:val="Sansinterligne"/>
        <w:numPr>
          <w:ilvl w:val="0"/>
          <w:numId w:val="1"/>
        </w:numPr>
        <w:spacing w:line="276" w:lineRule="auto"/>
        <w:jc w:val="both"/>
        <w:rPr>
          <w:rStyle w:val="auto-style6"/>
          <w:rFonts w:asciiTheme="majorHAnsi" w:hAnsiTheme="majorHAnsi" w:cstheme="majorHAnsi"/>
          <w:color w:val="000000"/>
        </w:rPr>
      </w:pPr>
      <w:r w:rsidRPr="000211E4">
        <w:rPr>
          <w:rStyle w:val="auto-style6"/>
          <w:rFonts w:asciiTheme="majorHAnsi" w:hAnsiTheme="majorHAnsi" w:cstheme="majorHAnsi"/>
          <w:color w:val="808080" w:themeColor="background1" w:themeShade="80"/>
        </w:rPr>
        <w:t xml:space="preserve">(1 pt) </w:t>
      </w:r>
      <w:r w:rsidR="00DF38BF" w:rsidRPr="00AA4E5F">
        <w:rPr>
          <w:rStyle w:val="auto-style6"/>
          <w:rFonts w:asciiTheme="majorHAnsi" w:hAnsiTheme="majorHAnsi" w:cstheme="majorHAnsi"/>
          <w:color w:val="000000"/>
        </w:rPr>
        <w:t>Quel est le réactif limitant avant l'équivalence ? Quel est le réactif limitant après l'équivalence</w:t>
      </w:r>
      <w:r w:rsidR="00AD7788" w:rsidRPr="00AA4E5F">
        <w:rPr>
          <w:rStyle w:val="auto-style6"/>
          <w:rFonts w:asciiTheme="majorHAnsi" w:hAnsiTheme="majorHAnsi" w:cstheme="majorHAnsi"/>
          <w:color w:val="000000"/>
        </w:rPr>
        <w:t xml:space="preserve"> </w:t>
      </w:r>
      <w:r w:rsidR="00DF38BF" w:rsidRPr="00AA4E5F">
        <w:rPr>
          <w:rStyle w:val="auto-style6"/>
          <w:rFonts w:asciiTheme="majorHAnsi" w:hAnsiTheme="majorHAnsi" w:cstheme="majorHAnsi"/>
          <w:color w:val="000000"/>
        </w:rPr>
        <w:t>?</w:t>
      </w:r>
    </w:p>
    <w:p w14:paraId="4CD14E0F" w14:textId="77777777" w:rsidR="00DF38BF" w:rsidRPr="00AA4E5F" w:rsidRDefault="000211E4" w:rsidP="00AA4E5F">
      <w:pPr>
        <w:pStyle w:val="Sansinterligne"/>
        <w:numPr>
          <w:ilvl w:val="0"/>
          <w:numId w:val="1"/>
        </w:numPr>
        <w:spacing w:line="276" w:lineRule="auto"/>
        <w:jc w:val="both"/>
        <w:rPr>
          <w:rStyle w:val="auto-style6"/>
          <w:rFonts w:asciiTheme="majorHAnsi" w:hAnsiTheme="majorHAnsi" w:cstheme="majorHAnsi"/>
          <w:color w:val="000000"/>
        </w:rPr>
      </w:pPr>
      <w:r w:rsidRPr="000211E4">
        <w:rPr>
          <w:rStyle w:val="auto-style6"/>
          <w:rFonts w:asciiTheme="majorHAnsi" w:hAnsiTheme="majorHAnsi" w:cstheme="majorHAnsi"/>
          <w:color w:val="808080" w:themeColor="background1" w:themeShade="80"/>
        </w:rPr>
        <w:t xml:space="preserve">(1 pt) </w:t>
      </w:r>
      <w:r w:rsidR="00DF38BF" w:rsidRPr="00AA4E5F">
        <w:rPr>
          <w:rStyle w:val="auto-style6"/>
          <w:rFonts w:asciiTheme="majorHAnsi" w:hAnsiTheme="majorHAnsi" w:cstheme="majorHAnsi"/>
          <w:color w:val="000000"/>
        </w:rPr>
        <w:t>Justifier le changement de couleur qui a lieu à l’équivalence.</w:t>
      </w:r>
    </w:p>
    <w:p w14:paraId="14AC7D27" w14:textId="7576AAB3" w:rsidR="0061321B" w:rsidRPr="00AA4E5F" w:rsidRDefault="000211E4" w:rsidP="00AA4E5F">
      <w:pPr>
        <w:pStyle w:val="Sansinterligne"/>
        <w:numPr>
          <w:ilvl w:val="0"/>
          <w:numId w:val="1"/>
        </w:numPr>
        <w:spacing w:line="276" w:lineRule="auto"/>
        <w:jc w:val="both"/>
        <w:rPr>
          <w:rStyle w:val="auto-style2"/>
          <w:rFonts w:asciiTheme="majorHAnsi" w:hAnsiTheme="majorHAnsi" w:cstheme="majorHAnsi"/>
        </w:rPr>
      </w:pPr>
      <w:r w:rsidRPr="000211E4">
        <w:rPr>
          <w:rStyle w:val="auto-style6"/>
          <w:rFonts w:asciiTheme="majorHAnsi" w:hAnsiTheme="majorHAnsi" w:cstheme="majorHAnsi"/>
          <w:color w:val="808080" w:themeColor="background1" w:themeShade="80"/>
        </w:rPr>
        <w:t>(</w:t>
      </w:r>
      <w:r>
        <w:rPr>
          <w:rStyle w:val="auto-style6"/>
          <w:rFonts w:asciiTheme="majorHAnsi" w:hAnsiTheme="majorHAnsi" w:cstheme="majorHAnsi"/>
          <w:color w:val="808080" w:themeColor="background1" w:themeShade="80"/>
        </w:rPr>
        <w:t>2</w:t>
      </w:r>
      <w:r w:rsidRPr="000211E4">
        <w:rPr>
          <w:rStyle w:val="auto-style6"/>
          <w:rFonts w:asciiTheme="majorHAnsi" w:hAnsiTheme="majorHAnsi" w:cstheme="majorHAnsi"/>
          <w:color w:val="808080" w:themeColor="background1" w:themeShade="80"/>
        </w:rPr>
        <w:t xml:space="preserve"> pt</w:t>
      </w:r>
      <w:r w:rsidR="00397A66">
        <w:rPr>
          <w:rStyle w:val="auto-style6"/>
          <w:rFonts w:asciiTheme="majorHAnsi" w:hAnsiTheme="majorHAnsi" w:cstheme="majorHAnsi"/>
          <w:color w:val="808080" w:themeColor="background1" w:themeShade="80"/>
        </w:rPr>
        <w:t>s</w:t>
      </w:r>
      <w:r w:rsidRPr="000211E4">
        <w:rPr>
          <w:rStyle w:val="auto-style6"/>
          <w:rFonts w:asciiTheme="majorHAnsi" w:hAnsiTheme="majorHAnsi" w:cstheme="majorHAnsi"/>
          <w:color w:val="808080" w:themeColor="background1" w:themeShade="80"/>
        </w:rPr>
        <w:t xml:space="preserve">) </w:t>
      </w:r>
      <w:r w:rsidR="00CB3266" w:rsidRPr="00AA4E5F">
        <w:rPr>
          <w:rStyle w:val="auto-style6"/>
          <w:rFonts w:asciiTheme="majorHAnsi" w:hAnsiTheme="majorHAnsi" w:cstheme="majorHAnsi"/>
          <w:color w:val="000000"/>
        </w:rPr>
        <w:t>En détaillant le raisonnement, d</w:t>
      </w:r>
      <w:r w:rsidR="0061321B" w:rsidRPr="00AA4E5F">
        <w:rPr>
          <w:rStyle w:val="auto-style6"/>
          <w:rFonts w:asciiTheme="majorHAnsi" w:hAnsiTheme="majorHAnsi" w:cstheme="majorHAnsi"/>
          <w:color w:val="000000"/>
        </w:rPr>
        <w:t>onner l’expression littérale de la concentration recherchée</w:t>
      </w:r>
      <w:r w:rsidR="00497D1A" w:rsidRPr="00AA4E5F">
        <w:rPr>
          <w:rStyle w:val="auto-style6"/>
          <w:rFonts w:asciiTheme="majorHAnsi" w:hAnsiTheme="majorHAnsi" w:cstheme="majorHAnsi"/>
          <w:color w:val="000000"/>
        </w:rPr>
        <w:t xml:space="preserve"> </w:t>
      </w:r>
      <w:r w:rsidR="00DF38BF" w:rsidRPr="00AA4E5F">
        <w:rPr>
          <w:rStyle w:val="auto-style6"/>
          <w:rFonts w:asciiTheme="majorHAnsi" w:hAnsiTheme="majorHAnsi" w:cstheme="majorHAnsi"/>
          <w:color w:val="000000"/>
        </w:rPr>
        <w:t xml:space="preserve">en fonction de la concentration de la solution titrante et des différents volumes </w:t>
      </w:r>
      <w:r w:rsidR="00497D1A" w:rsidRPr="00AA4E5F">
        <w:rPr>
          <w:rStyle w:val="auto-style6"/>
          <w:rFonts w:asciiTheme="majorHAnsi" w:hAnsiTheme="majorHAnsi" w:cstheme="majorHAnsi"/>
          <w:color w:val="000000"/>
        </w:rPr>
        <w:t>puis</w:t>
      </w:r>
      <w:r w:rsidR="00497D1A" w:rsidRPr="00AA4E5F">
        <w:rPr>
          <w:rStyle w:val="auto-style2"/>
          <w:rFonts w:asciiTheme="majorHAnsi" w:hAnsiTheme="majorHAnsi" w:cstheme="majorHAnsi"/>
          <w:color w:val="000000"/>
        </w:rPr>
        <w:t xml:space="preserve"> c</w:t>
      </w:r>
      <w:r w:rsidR="0061321B" w:rsidRPr="00AA4E5F">
        <w:rPr>
          <w:rStyle w:val="auto-style2"/>
          <w:rFonts w:asciiTheme="majorHAnsi" w:hAnsiTheme="majorHAnsi" w:cstheme="majorHAnsi"/>
          <w:color w:val="000000"/>
        </w:rPr>
        <w:t xml:space="preserve">alculer la valeur de la concentration en </w:t>
      </w:r>
      <w:r w:rsidR="00497D1A" w:rsidRPr="00AA4E5F">
        <w:rPr>
          <w:rStyle w:val="auto-style2"/>
          <w:rFonts w:asciiTheme="majorHAnsi" w:hAnsiTheme="majorHAnsi" w:cstheme="majorHAnsi"/>
          <w:color w:val="000000"/>
        </w:rPr>
        <w:t xml:space="preserve">diiode </w:t>
      </w:r>
      <w:r w:rsidR="0061321B" w:rsidRPr="00AA4E5F">
        <w:rPr>
          <w:rStyle w:val="auto-style2"/>
          <w:rFonts w:asciiTheme="majorHAnsi" w:hAnsiTheme="majorHAnsi" w:cstheme="majorHAnsi"/>
          <w:color w:val="000000"/>
        </w:rPr>
        <w:t xml:space="preserve">de la solution </w:t>
      </w:r>
      <w:r w:rsidR="00497D1A" w:rsidRPr="00AA4E5F">
        <w:rPr>
          <w:rStyle w:val="auto-style2"/>
          <w:rFonts w:asciiTheme="majorHAnsi" w:hAnsiTheme="majorHAnsi" w:cstheme="majorHAnsi"/>
          <w:color w:val="000000"/>
        </w:rPr>
        <w:t>diluée</w:t>
      </w:r>
      <w:r w:rsidR="0061321B" w:rsidRPr="00AA4E5F">
        <w:rPr>
          <w:rStyle w:val="auto-style2"/>
          <w:rFonts w:asciiTheme="majorHAnsi" w:hAnsiTheme="majorHAnsi" w:cstheme="majorHAnsi"/>
          <w:color w:val="000000"/>
        </w:rPr>
        <w:t>.</w:t>
      </w:r>
    </w:p>
    <w:p w14:paraId="384A03A1" w14:textId="77777777" w:rsidR="0074251E" w:rsidRPr="00AA4E5F" w:rsidRDefault="000211E4" w:rsidP="00AA4E5F">
      <w:pPr>
        <w:pStyle w:val="Sansinterligne"/>
        <w:numPr>
          <w:ilvl w:val="0"/>
          <w:numId w:val="1"/>
        </w:numPr>
        <w:spacing w:line="276" w:lineRule="auto"/>
        <w:jc w:val="both"/>
        <w:rPr>
          <w:rStyle w:val="auto-style2"/>
          <w:rFonts w:asciiTheme="majorHAnsi" w:hAnsiTheme="majorHAnsi" w:cstheme="majorHAnsi"/>
        </w:rPr>
      </w:pPr>
      <w:r w:rsidRPr="000211E4">
        <w:rPr>
          <w:rStyle w:val="auto-style6"/>
          <w:rFonts w:asciiTheme="majorHAnsi" w:hAnsiTheme="majorHAnsi" w:cstheme="majorHAnsi"/>
          <w:color w:val="808080" w:themeColor="background1" w:themeShade="80"/>
        </w:rPr>
        <w:t xml:space="preserve">(1 pt) </w:t>
      </w:r>
      <w:r w:rsidR="0074251E" w:rsidRPr="00AA4E5F">
        <w:rPr>
          <w:rStyle w:val="auto-style2"/>
          <w:rFonts w:asciiTheme="majorHAnsi" w:hAnsiTheme="majorHAnsi" w:cstheme="majorHAnsi"/>
          <w:color w:val="000000"/>
        </w:rPr>
        <w:t xml:space="preserve">En déduire la valeur de la concentration molaire expérimentale </w:t>
      </w:r>
      <w:proofErr w:type="spellStart"/>
      <w:r w:rsidR="003128CE" w:rsidRPr="00AA4E5F">
        <w:rPr>
          <w:rStyle w:val="auto-style2"/>
          <w:rFonts w:asciiTheme="majorHAnsi" w:hAnsiTheme="majorHAnsi" w:cstheme="majorHAnsi"/>
          <w:color w:val="000000"/>
        </w:rPr>
        <w:t>c</w:t>
      </w:r>
      <w:r w:rsidR="003128CE" w:rsidRPr="00AA4E5F">
        <w:rPr>
          <w:rStyle w:val="auto-style2"/>
          <w:rFonts w:asciiTheme="majorHAnsi" w:hAnsiTheme="majorHAnsi" w:cstheme="majorHAnsi"/>
          <w:color w:val="000000"/>
          <w:vertAlign w:val="subscript"/>
        </w:rPr>
        <w:t>exp</w:t>
      </w:r>
      <w:proofErr w:type="spellEnd"/>
      <w:r w:rsidR="003128CE" w:rsidRPr="00AA4E5F">
        <w:rPr>
          <w:rStyle w:val="auto-style2"/>
          <w:rFonts w:asciiTheme="majorHAnsi" w:hAnsiTheme="majorHAnsi" w:cstheme="majorHAnsi"/>
          <w:color w:val="000000"/>
        </w:rPr>
        <w:t xml:space="preserve"> </w:t>
      </w:r>
      <w:r w:rsidR="0074251E" w:rsidRPr="00AA4E5F">
        <w:rPr>
          <w:rStyle w:val="auto-style2"/>
          <w:rFonts w:asciiTheme="majorHAnsi" w:hAnsiTheme="majorHAnsi" w:cstheme="majorHAnsi"/>
          <w:color w:val="000000"/>
        </w:rPr>
        <w:t>de la solution commerciale de Bétadine.</w:t>
      </w:r>
    </w:p>
    <w:p w14:paraId="0A7A15C0" w14:textId="77777777" w:rsidR="0061321B" w:rsidRPr="00AA4E5F" w:rsidRDefault="000211E4" w:rsidP="00AA4E5F">
      <w:pPr>
        <w:pStyle w:val="Paragraphedeliste"/>
        <w:numPr>
          <w:ilvl w:val="0"/>
          <w:numId w:val="1"/>
        </w:numPr>
        <w:spacing w:line="276" w:lineRule="auto"/>
        <w:jc w:val="both"/>
        <w:rPr>
          <w:rFonts w:asciiTheme="majorHAnsi" w:hAnsiTheme="majorHAnsi" w:cstheme="majorHAnsi"/>
        </w:rPr>
      </w:pPr>
      <w:r w:rsidRPr="000211E4">
        <w:rPr>
          <w:rStyle w:val="auto-style6"/>
          <w:rFonts w:asciiTheme="majorHAnsi" w:hAnsiTheme="majorHAnsi" w:cstheme="majorHAnsi"/>
          <w:color w:val="808080" w:themeColor="background1" w:themeShade="80"/>
        </w:rPr>
        <w:t xml:space="preserve">(1 pt) </w:t>
      </w:r>
      <w:r w:rsidR="0081665D" w:rsidRPr="00AA4E5F">
        <w:rPr>
          <w:rFonts w:asciiTheme="majorHAnsi" w:hAnsiTheme="majorHAnsi" w:cstheme="majorHAnsi"/>
        </w:rPr>
        <w:t xml:space="preserve">Calculer la concentration </w:t>
      </w:r>
      <w:r w:rsidR="0074251E" w:rsidRPr="00AA4E5F">
        <w:rPr>
          <w:rFonts w:asciiTheme="majorHAnsi" w:hAnsiTheme="majorHAnsi" w:cstheme="majorHAnsi"/>
        </w:rPr>
        <w:t xml:space="preserve">massique </w:t>
      </w:r>
      <w:r w:rsidR="0081665D" w:rsidRPr="00AA4E5F">
        <w:rPr>
          <w:rFonts w:asciiTheme="majorHAnsi" w:hAnsiTheme="majorHAnsi" w:cstheme="majorHAnsi"/>
        </w:rPr>
        <w:t>théorique en diiode de la solution commerciale</w:t>
      </w:r>
      <w:r w:rsidR="0074251E" w:rsidRPr="00AA4E5F">
        <w:rPr>
          <w:rFonts w:asciiTheme="majorHAnsi" w:hAnsiTheme="majorHAnsi" w:cstheme="majorHAnsi"/>
        </w:rPr>
        <w:t xml:space="preserve"> de Bétadine</w:t>
      </w:r>
      <w:r w:rsidR="0081665D" w:rsidRPr="00AA4E5F">
        <w:rPr>
          <w:rFonts w:asciiTheme="majorHAnsi" w:hAnsiTheme="majorHAnsi" w:cstheme="majorHAnsi"/>
        </w:rPr>
        <w:t>.</w:t>
      </w:r>
    </w:p>
    <w:p w14:paraId="08A12D90" w14:textId="77777777" w:rsidR="003128CE" w:rsidRPr="00AA4E5F" w:rsidRDefault="000211E4" w:rsidP="00AA4E5F">
      <w:pPr>
        <w:pStyle w:val="Paragraphedeliste"/>
        <w:numPr>
          <w:ilvl w:val="0"/>
          <w:numId w:val="1"/>
        </w:numPr>
        <w:spacing w:line="276" w:lineRule="auto"/>
        <w:jc w:val="both"/>
        <w:rPr>
          <w:rFonts w:asciiTheme="majorHAnsi" w:hAnsiTheme="majorHAnsi" w:cstheme="majorHAnsi"/>
        </w:rPr>
      </w:pPr>
      <w:r w:rsidRPr="000211E4">
        <w:rPr>
          <w:rStyle w:val="auto-style6"/>
          <w:rFonts w:asciiTheme="majorHAnsi" w:hAnsiTheme="majorHAnsi" w:cstheme="majorHAnsi"/>
          <w:color w:val="808080" w:themeColor="background1" w:themeShade="80"/>
        </w:rPr>
        <w:t xml:space="preserve">(1 pt) </w:t>
      </w:r>
      <w:r w:rsidR="003128CE" w:rsidRPr="00AA4E5F">
        <w:rPr>
          <w:rFonts w:asciiTheme="majorHAnsi" w:hAnsiTheme="majorHAnsi" w:cstheme="majorHAnsi"/>
        </w:rPr>
        <w:t xml:space="preserve">En déduire sa concentration molaire théorique </w:t>
      </w:r>
      <w:proofErr w:type="spellStart"/>
      <w:r w:rsidR="003128CE" w:rsidRPr="00AA4E5F">
        <w:rPr>
          <w:rFonts w:asciiTheme="majorHAnsi" w:hAnsiTheme="majorHAnsi" w:cstheme="majorHAnsi"/>
        </w:rPr>
        <w:t>c</w:t>
      </w:r>
      <w:r w:rsidR="003128CE" w:rsidRPr="00AA4E5F">
        <w:rPr>
          <w:rFonts w:asciiTheme="majorHAnsi" w:hAnsiTheme="majorHAnsi" w:cstheme="majorHAnsi"/>
          <w:vertAlign w:val="subscript"/>
        </w:rPr>
        <w:t>théo</w:t>
      </w:r>
      <w:proofErr w:type="spellEnd"/>
      <w:r w:rsidR="003128CE" w:rsidRPr="00AA4E5F">
        <w:rPr>
          <w:rFonts w:asciiTheme="majorHAnsi" w:hAnsiTheme="majorHAnsi" w:cstheme="majorHAnsi"/>
        </w:rPr>
        <w:t>.</w:t>
      </w:r>
    </w:p>
    <w:p w14:paraId="2A5D9361" w14:textId="647F977A" w:rsidR="00281E84" w:rsidRDefault="000211E4" w:rsidP="00AA4E5F">
      <w:pPr>
        <w:pStyle w:val="Paragraphedeliste"/>
        <w:numPr>
          <w:ilvl w:val="0"/>
          <w:numId w:val="1"/>
        </w:numPr>
        <w:spacing w:line="276" w:lineRule="auto"/>
        <w:jc w:val="both"/>
        <w:rPr>
          <w:rFonts w:asciiTheme="majorHAnsi" w:hAnsiTheme="majorHAnsi" w:cstheme="majorHAnsi"/>
        </w:rPr>
      </w:pPr>
      <w:r w:rsidRPr="000211E4">
        <w:rPr>
          <w:rStyle w:val="auto-style6"/>
          <w:rFonts w:asciiTheme="majorHAnsi" w:hAnsiTheme="majorHAnsi" w:cstheme="majorHAnsi"/>
          <w:color w:val="808080" w:themeColor="background1" w:themeShade="80"/>
        </w:rPr>
        <w:t>(</w:t>
      </w:r>
      <w:r>
        <w:rPr>
          <w:rStyle w:val="auto-style6"/>
          <w:rFonts w:asciiTheme="majorHAnsi" w:hAnsiTheme="majorHAnsi" w:cstheme="majorHAnsi"/>
          <w:color w:val="808080" w:themeColor="background1" w:themeShade="80"/>
        </w:rPr>
        <w:t>2</w:t>
      </w:r>
      <w:r w:rsidRPr="000211E4">
        <w:rPr>
          <w:rStyle w:val="auto-style6"/>
          <w:rFonts w:asciiTheme="majorHAnsi" w:hAnsiTheme="majorHAnsi" w:cstheme="majorHAnsi"/>
          <w:color w:val="808080" w:themeColor="background1" w:themeShade="80"/>
        </w:rPr>
        <w:t xml:space="preserve"> pt</w:t>
      </w:r>
      <w:r w:rsidR="00397A66">
        <w:rPr>
          <w:rStyle w:val="auto-style6"/>
          <w:rFonts w:asciiTheme="majorHAnsi" w:hAnsiTheme="majorHAnsi" w:cstheme="majorHAnsi"/>
          <w:color w:val="808080" w:themeColor="background1" w:themeShade="80"/>
        </w:rPr>
        <w:t>s</w:t>
      </w:r>
      <w:r w:rsidRPr="000211E4">
        <w:rPr>
          <w:rStyle w:val="auto-style6"/>
          <w:rFonts w:asciiTheme="majorHAnsi" w:hAnsiTheme="majorHAnsi" w:cstheme="majorHAnsi"/>
          <w:color w:val="808080" w:themeColor="background1" w:themeShade="80"/>
        </w:rPr>
        <w:t xml:space="preserve">) </w:t>
      </w:r>
      <w:r w:rsidR="004C061A" w:rsidRPr="00AA4E5F">
        <w:rPr>
          <w:rFonts w:asciiTheme="majorHAnsi" w:hAnsiTheme="majorHAnsi" w:cstheme="majorHAnsi"/>
        </w:rPr>
        <w:t>Comparer les valeurs théoriques et expérimentales en c</w:t>
      </w:r>
      <w:r w:rsidR="00FC755E" w:rsidRPr="00AA4E5F">
        <w:rPr>
          <w:rFonts w:asciiTheme="majorHAnsi" w:hAnsiTheme="majorHAnsi" w:cstheme="majorHAnsi"/>
        </w:rPr>
        <w:t>alcul</w:t>
      </w:r>
      <w:r w:rsidR="004C061A" w:rsidRPr="00AA4E5F">
        <w:rPr>
          <w:rFonts w:asciiTheme="majorHAnsi" w:hAnsiTheme="majorHAnsi" w:cstheme="majorHAnsi"/>
        </w:rPr>
        <w:t>ant</w:t>
      </w:r>
      <w:r w:rsidR="00FC755E" w:rsidRPr="00AA4E5F">
        <w:rPr>
          <w:rFonts w:asciiTheme="majorHAnsi" w:hAnsiTheme="majorHAnsi" w:cstheme="majorHAnsi"/>
        </w:rPr>
        <w:t xml:space="preserve"> l’</w:t>
      </w:r>
      <w:r w:rsidR="005D5554">
        <w:rPr>
          <w:rFonts w:asciiTheme="majorHAnsi" w:hAnsiTheme="majorHAnsi" w:cstheme="majorHAnsi"/>
        </w:rPr>
        <w:t>incertitude</w:t>
      </w:r>
      <w:r w:rsidR="00FC755E" w:rsidRPr="00AA4E5F">
        <w:rPr>
          <w:rFonts w:asciiTheme="majorHAnsi" w:hAnsiTheme="majorHAnsi" w:cstheme="majorHAnsi"/>
        </w:rPr>
        <w:t xml:space="preserve"> relative </w:t>
      </w:r>
      <m:oMath>
        <m:f>
          <m:fPr>
            <m:ctrlPr>
              <w:rPr>
                <w:rFonts w:ascii="Cambria Math" w:hAnsi="Cambria Math" w:cstheme="majorHAnsi"/>
                <w:i/>
              </w:rPr>
            </m:ctrlPr>
          </m:fPr>
          <m:num>
            <m:d>
              <m:dPr>
                <m:begChr m:val="|"/>
                <m:endChr m:val="|"/>
                <m:ctrlPr>
                  <w:rPr>
                    <w:rFonts w:ascii="Cambria Math" w:hAnsi="Cambria Math" w:cstheme="majorHAnsi"/>
                    <w:i/>
                  </w:rPr>
                </m:ctrlPr>
              </m:dPr>
              <m:e>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théo</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exp</m:t>
                    </m:r>
                  </m:sub>
                </m:sSub>
              </m:e>
            </m:d>
          </m:num>
          <m:den>
            <m:sSub>
              <m:sSubPr>
                <m:ctrlPr>
                  <w:rPr>
                    <w:rFonts w:ascii="Cambria Math" w:hAnsi="Cambria Math" w:cstheme="majorHAnsi"/>
                    <w:i/>
                  </w:rPr>
                </m:ctrlPr>
              </m:sSubPr>
              <m:e>
                <m:r>
                  <w:rPr>
                    <w:rFonts w:ascii="Cambria Math" w:hAnsi="Cambria Math" w:cstheme="majorHAnsi"/>
                  </w:rPr>
                  <m:t>c</m:t>
                </m:r>
              </m:e>
              <m:sub>
                <m:r>
                  <w:rPr>
                    <w:rFonts w:ascii="Cambria Math" w:hAnsi="Cambria Math" w:cstheme="majorHAnsi"/>
                  </w:rPr>
                  <m:t>théo</m:t>
                </m:r>
              </m:sub>
            </m:sSub>
          </m:den>
        </m:f>
      </m:oMath>
      <w:r w:rsidR="004C061A" w:rsidRPr="00AA4E5F">
        <w:rPr>
          <w:rFonts w:asciiTheme="majorHAnsi" w:hAnsiTheme="majorHAnsi" w:cstheme="majorHAnsi"/>
        </w:rPr>
        <w:t>. Avec notre matériel</w:t>
      </w:r>
      <w:r w:rsidR="00833C9C" w:rsidRPr="00AA4E5F">
        <w:rPr>
          <w:rFonts w:asciiTheme="majorHAnsi" w:hAnsiTheme="majorHAnsi" w:cstheme="majorHAnsi"/>
        </w:rPr>
        <w:t xml:space="preserve"> et un travail appliqué</w:t>
      </w:r>
      <w:r w:rsidR="004C061A" w:rsidRPr="00AA4E5F">
        <w:rPr>
          <w:rFonts w:asciiTheme="majorHAnsi" w:hAnsiTheme="majorHAnsi" w:cstheme="majorHAnsi"/>
        </w:rPr>
        <w:t xml:space="preserve">, une </w:t>
      </w:r>
      <w:r w:rsidR="005D5554">
        <w:rPr>
          <w:rFonts w:asciiTheme="majorHAnsi" w:hAnsiTheme="majorHAnsi" w:cstheme="majorHAnsi"/>
        </w:rPr>
        <w:t>incertitude</w:t>
      </w:r>
      <w:r w:rsidR="004C061A" w:rsidRPr="00AA4E5F">
        <w:rPr>
          <w:rFonts w:asciiTheme="majorHAnsi" w:hAnsiTheme="majorHAnsi" w:cstheme="majorHAnsi"/>
        </w:rPr>
        <w:t xml:space="preserve"> relative autour de 5-10</w:t>
      </w:r>
      <w:r w:rsidR="002224B4" w:rsidRPr="00AA4E5F">
        <w:rPr>
          <w:rFonts w:asciiTheme="majorHAnsi" w:hAnsiTheme="majorHAnsi" w:cstheme="majorHAnsi"/>
        </w:rPr>
        <w:t xml:space="preserve"> </w:t>
      </w:r>
      <w:r w:rsidR="004C061A" w:rsidRPr="00AA4E5F">
        <w:rPr>
          <w:rFonts w:asciiTheme="majorHAnsi" w:hAnsiTheme="majorHAnsi" w:cstheme="majorHAnsi"/>
        </w:rPr>
        <w:t>% est souvent constaté</w:t>
      </w:r>
      <w:r w:rsidR="00833C9C" w:rsidRPr="00AA4E5F">
        <w:rPr>
          <w:rFonts w:asciiTheme="majorHAnsi" w:hAnsiTheme="majorHAnsi" w:cstheme="majorHAnsi"/>
        </w:rPr>
        <w:t>e</w:t>
      </w:r>
      <w:r w:rsidR="004C061A" w:rsidRPr="00AA4E5F">
        <w:rPr>
          <w:rFonts w:asciiTheme="majorHAnsi" w:hAnsiTheme="majorHAnsi" w:cstheme="majorHAnsi"/>
        </w:rPr>
        <w:t>. Conclure.</w:t>
      </w:r>
    </w:p>
    <w:p w14:paraId="62EBAE34" w14:textId="77777777" w:rsidR="00FB3BB6" w:rsidRDefault="00FB3BB6" w:rsidP="00FB3BB6">
      <w:pPr>
        <w:spacing w:line="276" w:lineRule="auto"/>
        <w:jc w:val="both"/>
        <w:rPr>
          <w:rFonts w:asciiTheme="majorHAnsi" w:hAnsiTheme="majorHAnsi" w:cstheme="majorHAnsi"/>
        </w:rPr>
      </w:pPr>
    </w:p>
    <w:p w14:paraId="0686E30D" w14:textId="77777777" w:rsidR="00FB3BB6" w:rsidRPr="00FB3BB6" w:rsidRDefault="00FB3BB6" w:rsidP="00FB3BB6">
      <w:pPr>
        <w:spacing w:line="360" w:lineRule="auto"/>
        <w:rPr>
          <w:rFonts w:asciiTheme="majorHAnsi" w:hAnsiTheme="majorHAnsi" w:cstheme="majorHAnsi"/>
        </w:rPr>
      </w:pPr>
      <w:r w:rsidRPr="00FB3BB6">
        <w:rPr>
          <w:rFonts w:asciiTheme="majorHAnsi" w:hAnsiTheme="majorHAnsi" w:cstheme="majorHAnsi"/>
        </w:rPr>
        <w:t>Évaluation expérimentale :</w:t>
      </w:r>
    </w:p>
    <w:tbl>
      <w:tblPr>
        <w:tblStyle w:val="Grilledutableau"/>
        <w:tblW w:w="0" w:type="auto"/>
        <w:tblLook w:val="04A0" w:firstRow="1" w:lastRow="0" w:firstColumn="1" w:lastColumn="0" w:noHBand="0" w:noVBand="1"/>
      </w:tblPr>
      <w:tblGrid>
        <w:gridCol w:w="8685"/>
        <w:gridCol w:w="1765"/>
      </w:tblGrid>
      <w:tr w:rsidR="00FB3BB6" w:rsidRPr="00C024E5" w14:paraId="4BE95FC2" w14:textId="77777777" w:rsidTr="00B51402">
        <w:trPr>
          <w:trHeight w:val="394"/>
        </w:trPr>
        <w:tc>
          <w:tcPr>
            <w:tcW w:w="8685" w:type="dxa"/>
            <w:vAlign w:val="center"/>
          </w:tcPr>
          <w:p w14:paraId="7FC11B3F" w14:textId="77777777" w:rsidR="00FB3BB6" w:rsidRPr="00FB3BB6" w:rsidRDefault="00FB3BB6" w:rsidP="00B51402">
            <w:pPr>
              <w:rPr>
                <w:rFonts w:asciiTheme="majorHAnsi" w:hAnsiTheme="majorHAnsi" w:cstheme="majorHAnsi"/>
              </w:rPr>
            </w:pPr>
            <w:r w:rsidRPr="00FB3BB6">
              <w:rPr>
                <w:rFonts w:asciiTheme="majorHAnsi" w:hAnsiTheme="majorHAnsi" w:cstheme="majorHAnsi"/>
              </w:rPr>
              <w:t>J’ai ma blouse</w:t>
            </w:r>
          </w:p>
        </w:tc>
        <w:tc>
          <w:tcPr>
            <w:tcW w:w="1765" w:type="dxa"/>
            <w:vAlign w:val="center"/>
          </w:tcPr>
          <w:p w14:paraId="2E3F4290" w14:textId="77777777" w:rsidR="00FB3BB6" w:rsidRPr="00397A66" w:rsidRDefault="00FB3BB6" w:rsidP="00B51402">
            <w:pPr>
              <w:jc w:val="right"/>
              <w:rPr>
                <w:rFonts w:ascii="Modern Love Caps" w:hAnsi="Modern Love Caps"/>
              </w:rPr>
            </w:pPr>
            <w:r w:rsidRPr="00397A66">
              <w:rPr>
                <w:rFonts w:ascii="Modern Love Caps" w:hAnsi="Modern Love Caps"/>
              </w:rPr>
              <w:t>/1</w:t>
            </w:r>
          </w:p>
        </w:tc>
      </w:tr>
      <w:tr w:rsidR="00FB3BB6" w:rsidRPr="00C024E5" w14:paraId="65DCA5A6" w14:textId="77777777" w:rsidTr="00B51402">
        <w:trPr>
          <w:trHeight w:val="414"/>
        </w:trPr>
        <w:tc>
          <w:tcPr>
            <w:tcW w:w="8685" w:type="dxa"/>
            <w:vAlign w:val="center"/>
          </w:tcPr>
          <w:p w14:paraId="530B8053" w14:textId="77777777" w:rsidR="00FB3BB6" w:rsidRPr="00FB3BB6" w:rsidRDefault="00FB3BB6" w:rsidP="00B51402">
            <w:pPr>
              <w:rPr>
                <w:rFonts w:asciiTheme="majorHAnsi" w:hAnsiTheme="majorHAnsi" w:cstheme="majorHAnsi"/>
              </w:rPr>
            </w:pPr>
            <w:r w:rsidRPr="00FB3BB6">
              <w:rPr>
                <w:rFonts w:asciiTheme="majorHAnsi" w:hAnsiTheme="majorHAnsi" w:cstheme="majorHAnsi"/>
              </w:rPr>
              <w:t>J’ai manipulé en toute sécurité</w:t>
            </w:r>
          </w:p>
        </w:tc>
        <w:tc>
          <w:tcPr>
            <w:tcW w:w="1765" w:type="dxa"/>
            <w:vAlign w:val="center"/>
          </w:tcPr>
          <w:p w14:paraId="7B46CABD" w14:textId="77777777" w:rsidR="00FB3BB6" w:rsidRPr="00397A66" w:rsidRDefault="00FB3BB6" w:rsidP="00B51402">
            <w:pPr>
              <w:jc w:val="right"/>
              <w:rPr>
                <w:rFonts w:ascii="Modern Love Caps" w:hAnsi="Modern Love Caps"/>
              </w:rPr>
            </w:pPr>
            <w:r w:rsidRPr="00397A66">
              <w:rPr>
                <w:rFonts w:ascii="Modern Love Caps" w:hAnsi="Modern Love Caps"/>
              </w:rPr>
              <w:t>/1</w:t>
            </w:r>
          </w:p>
        </w:tc>
      </w:tr>
      <w:tr w:rsidR="00FB3BB6" w:rsidRPr="00397A66" w14:paraId="116CD2C2" w14:textId="77777777" w:rsidTr="00B51402">
        <w:trPr>
          <w:trHeight w:val="420"/>
        </w:trPr>
        <w:tc>
          <w:tcPr>
            <w:tcW w:w="8685" w:type="dxa"/>
            <w:vAlign w:val="center"/>
          </w:tcPr>
          <w:p w14:paraId="5CCBCE35" w14:textId="77777777" w:rsidR="00FB3BB6" w:rsidRPr="00FB3BB6" w:rsidRDefault="00A04E16" w:rsidP="00B51402">
            <w:pPr>
              <w:rPr>
                <w:rFonts w:asciiTheme="majorHAnsi" w:hAnsiTheme="majorHAnsi" w:cstheme="majorHAnsi"/>
              </w:rPr>
            </w:pPr>
            <w:r>
              <w:rPr>
                <w:rFonts w:asciiTheme="majorHAnsi" w:hAnsiTheme="majorHAnsi" w:cstheme="majorHAnsi"/>
              </w:rPr>
              <w:t>Je connais le protocole de dilution et je l’exécute correctement</w:t>
            </w:r>
          </w:p>
        </w:tc>
        <w:tc>
          <w:tcPr>
            <w:tcW w:w="1765" w:type="dxa"/>
            <w:vAlign w:val="center"/>
          </w:tcPr>
          <w:p w14:paraId="11B2BF98" w14:textId="77777777" w:rsidR="00FB3BB6" w:rsidRPr="00397A66" w:rsidRDefault="00FB3BB6" w:rsidP="00B51402">
            <w:pPr>
              <w:jc w:val="right"/>
              <w:rPr>
                <w:rFonts w:ascii="Modern Love Caps" w:hAnsi="Modern Love Caps"/>
              </w:rPr>
            </w:pPr>
            <w:r w:rsidRPr="00397A66">
              <w:rPr>
                <w:rFonts w:ascii="Modern Love Caps" w:hAnsi="Modern Love Caps"/>
              </w:rPr>
              <w:t>/2</w:t>
            </w:r>
          </w:p>
        </w:tc>
      </w:tr>
      <w:tr w:rsidR="00FB3BB6" w:rsidRPr="00C024E5" w14:paraId="6AB0E278" w14:textId="77777777" w:rsidTr="00B51402">
        <w:trPr>
          <w:trHeight w:val="420"/>
        </w:trPr>
        <w:tc>
          <w:tcPr>
            <w:tcW w:w="8685" w:type="dxa"/>
            <w:vAlign w:val="center"/>
          </w:tcPr>
          <w:p w14:paraId="16DE1A38" w14:textId="77777777" w:rsidR="00FB3BB6" w:rsidRPr="00FB3BB6" w:rsidRDefault="00A04E16" w:rsidP="00B51402">
            <w:pPr>
              <w:rPr>
                <w:rFonts w:asciiTheme="majorHAnsi" w:hAnsiTheme="majorHAnsi" w:cstheme="majorHAnsi"/>
              </w:rPr>
            </w:pPr>
            <w:r>
              <w:rPr>
                <w:rFonts w:asciiTheme="majorHAnsi" w:hAnsiTheme="majorHAnsi" w:cstheme="majorHAnsi"/>
              </w:rPr>
              <w:t>J’effectue correctement le titrage</w:t>
            </w:r>
          </w:p>
        </w:tc>
        <w:tc>
          <w:tcPr>
            <w:tcW w:w="1765" w:type="dxa"/>
            <w:vAlign w:val="center"/>
          </w:tcPr>
          <w:p w14:paraId="61A0A398" w14:textId="77777777" w:rsidR="00FB3BB6" w:rsidRPr="00397A66" w:rsidRDefault="00FB3BB6" w:rsidP="00B51402">
            <w:pPr>
              <w:jc w:val="right"/>
              <w:rPr>
                <w:rFonts w:ascii="Modern Love Caps" w:hAnsi="Modern Love Caps"/>
              </w:rPr>
            </w:pPr>
            <w:r w:rsidRPr="00397A66">
              <w:rPr>
                <w:rFonts w:ascii="Modern Love Caps" w:hAnsi="Modern Love Caps"/>
              </w:rPr>
              <w:t>/2</w:t>
            </w:r>
          </w:p>
        </w:tc>
      </w:tr>
      <w:tr w:rsidR="00FB3BB6" w:rsidRPr="00C024E5" w14:paraId="2739B814" w14:textId="77777777" w:rsidTr="00B51402">
        <w:trPr>
          <w:trHeight w:val="418"/>
        </w:trPr>
        <w:tc>
          <w:tcPr>
            <w:tcW w:w="8685" w:type="dxa"/>
            <w:vAlign w:val="center"/>
          </w:tcPr>
          <w:p w14:paraId="1EED1726" w14:textId="77777777" w:rsidR="00FB3BB6" w:rsidRPr="00FB3BB6" w:rsidRDefault="00FB3BB6" w:rsidP="00B51402">
            <w:pPr>
              <w:rPr>
                <w:rFonts w:asciiTheme="majorHAnsi" w:hAnsiTheme="majorHAnsi" w:cstheme="majorHAnsi"/>
              </w:rPr>
            </w:pPr>
            <w:r w:rsidRPr="00FB3BB6">
              <w:rPr>
                <w:rFonts w:asciiTheme="majorHAnsi" w:hAnsiTheme="majorHAnsi" w:cstheme="majorHAnsi"/>
              </w:rPr>
              <w:t>J’ai lavé et rangé mon matériel</w:t>
            </w:r>
          </w:p>
        </w:tc>
        <w:tc>
          <w:tcPr>
            <w:tcW w:w="1765" w:type="dxa"/>
            <w:vAlign w:val="center"/>
          </w:tcPr>
          <w:p w14:paraId="089DC275" w14:textId="77777777" w:rsidR="00FB3BB6" w:rsidRPr="00397A66" w:rsidRDefault="00FB3BB6" w:rsidP="00B51402">
            <w:pPr>
              <w:jc w:val="right"/>
              <w:rPr>
                <w:rFonts w:ascii="Modern Love Caps" w:hAnsi="Modern Love Caps"/>
              </w:rPr>
            </w:pPr>
            <w:r w:rsidRPr="00397A66">
              <w:rPr>
                <w:rFonts w:ascii="Modern Love Caps" w:hAnsi="Modern Love Caps"/>
              </w:rPr>
              <w:t>/1</w:t>
            </w:r>
          </w:p>
        </w:tc>
      </w:tr>
    </w:tbl>
    <w:p w14:paraId="6C57AC3B" w14:textId="77777777" w:rsidR="00FB3BB6" w:rsidRPr="00FB3BB6" w:rsidRDefault="00FB3BB6" w:rsidP="00FB3BB6">
      <w:pPr>
        <w:spacing w:line="276" w:lineRule="auto"/>
        <w:jc w:val="both"/>
        <w:rPr>
          <w:rFonts w:asciiTheme="majorHAnsi" w:hAnsiTheme="majorHAnsi" w:cstheme="majorHAnsi"/>
        </w:rPr>
      </w:pPr>
    </w:p>
    <w:sectPr w:rsidR="00FB3BB6" w:rsidRPr="00FB3BB6" w:rsidSect="009C19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3078"/>
    <w:multiLevelType w:val="hybridMultilevel"/>
    <w:tmpl w:val="B5DC4B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C7249B"/>
    <w:multiLevelType w:val="hybridMultilevel"/>
    <w:tmpl w:val="3E743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A064C5"/>
    <w:multiLevelType w:val="hybridMultilevel"/>
    <w:tmpl w:val="64EC1ABE"/>
    <w:lvl w:ilvl="0" w:tplc="59D232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739500">
    <w:abstractNumId w:val="0"/>
  </w:num>
  <w:num w:numId="2" w16cid:durableId="599484526">
    <w:abstractNumId w:val="2"/>
  </w:num>
  <w:num w:numId="3" w16cid:durableId="154606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0C"/>
    <w:rsid w:val="000211E4"/>
    <w:rsid w:val="00091F8D"/>
    <w:rsid w:val="0009640A"/>
    <w:rsid w:val="000C69B0"/>
    <w:rsid w:val="00145D24"/>
    <w:rsid w:val="0015135F"/>
    <w:rsid w:val="001607AA"/>
    <w:rsid w:val="001765A8"/>
    <w:rsid w:val="001B13A2"/>
    <w:rsid w:val="001D5B08"/>
    <w:rsid w:val="00206842"/>
    <w:rsid w:val="002214E5"/>
    <w:rsid w:val="002224B4"/>
    <w:rsid w:val="00230550"/>
    <w:rsid w:val="00272653"/>
    <w:rsid w:val="00281E84"/>
    <w:rsid w:val="002B6F85"/>
    <w:rsid w:val="003128CE"/>
    <w:rsid w:val="00355E27"/>
    <w:rsid w:val="00397A66"/>
    <w:rsid w:val="00497D1A"/>
    <w:rsid w:val="004C061A"/>
    <w:rsid w:val="00547565"/>
    <w:rsid w:val="00581625"/>
    <w:rsid w:val="00583E90"/>
    <w:rsid w:val="005A4B07"/>
    <w:rsid w:val="005C4F6C"/>
    <w:rsid w:val="005D5554"/>
    <w:rsid w:val="00611A00"/>
    <w:rsid w:val="0061321B"/>
    <w:rsid w:val="0068196F"/>
    <w:rsid w:val="006F4118"/>
    <w:rsid w:val="00714CD1"/>
    <w:rsid w:val="0074251E"/>
    <w:rsid w:val="00781EFD"/>
    <w:rsid w:val="00792138"/>
    <w:rsid w:val="007D7EE7"/>
    <w:rsid w:val="0081665D"/>
    <w:rsid w:val="00833C9C"/>
    <w:rsid w:val="00836E94"/>
    <w:rsid w:val="008616A3"/>
    <w:rsid w:val="008B0F43"/>
    <w:rsid w:val="008C3F31"/>
    <w:rsid w:val="00902844"/>
    <w:rsid w:val="0092588C"/>
    <w:rsid w:val="00937DE3"/>
    <w:rsid w:val="00951016"/>
    <w:rsid w:val="009705CA"/>
    <w:rsid w:val="009863E0"/>
    <w:rsid w:val="009A658C"/>
    <w:rsid w:val="009C195D"/>
    <w:rsid w:val="009E7644"/>
    <w:rsid w:val="00A033D5"/>
    <w:rsid w:val="00A04E16"/>
    <w:rsid w:val="00A53F2A"/>
    <w:rsid w:val="00AA4E5F"/>
    <w:rsid w:val="00AC25C4"/>
    <w:rsid w:val="00AD1528"/>
    <w:rsid w:val="00AD7788"/>
    <w:rsid w:val="00AE159B"/>
    <w:rsid w:val="00B21CCC"/>
    <w:rsid w:val="00B73916"/>
    <w:rsid w:val="00B83EE9"/>
    <w:rsid w:val="00B95C9B"/>
    <w:rsid w:val="00B962E1"/>
    <w:rsid w:val="00BB05A1"/>
    <w:rsid w:val="00C373B5"/>
    <w:rsid w:val="00C51612"/>
    <w:rsid w:val="00C51D63"/>
    <w:rsid w:val="00C71888"/>
    <w:rsid w:val="00C807A6"/>
    <w:rsid w:val="00CB3266"/>
    <w:rsid w:val="00CF4269"/>
    <w:rsid w:val="00D0236B"/>
    <w:rsid w:val="00D05A46"/>
    <w:rsid w:val="00D50DAD"/>
    <w:rsid w:val="00D83705"/>
    <w:rsid w:val="00DB4AC3"/>
    <w:rsid w:val="00DC4018"/>
    <w:rsid w:val="00DE1579"/>
    <w:rsid w:val="00DE6ECD"/>
    <w:rsid w:val="00DF38BF"/>
    <w:rsid w:val="00DF5D77"/>
    <w:rsid w:val="00E0770C"/>
    <w:rsid w:val="00E16A22"/>
    <w:rsid w:val="00E47525"/>
    <w:rsid w:val="00F4062B"/>
    <w:rsid w:val="00F4534F"/>
    <w:rsid w:val="00F6066E"/>
    <w:rsid w:val="00F63F16"/>
    <w:rsid w:val="00F65B76"/>
    <w:rsid w:val="00F8448E"/>
    <w:rsid w:val="00FB23AE"/>
    <w:rsid w:val="00FB3BB6"/>
    <w:rsid w:val="00FB71CA"/>
    <w:rsid w:val="00FC535A"/>
    <w:rsid w:val="00FC755E"/>
    <w:rsid w:val="00FD5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69C6"/>
  <w15:chartTrackingRefBased/>
  <w15:docId w15:val="{9B2468E7-108F-2048-8680-4C054F5E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0770C"/>
  </w:style>
  <w:style w:type="paragraph" w:styleId="Sansinterligne">
    <w:name w:val="No Spacing"/>
    <w:link w:val="SansinterligneCar"/>
    <w:uiPriority w:val="1"/>
    <w:qFormat/>
    <w:rsid w:val="00E0770C"/>
  </w:style>
  <w:style w:type="paragraph" w:styleId="Paragraphedeliste">
    <w:name w:val="List Paragraph"/>
    <w:basedOn w:val="Normal"/>
    <w:uiPriority w:val="34"/>
    <w:qFormat/>
    <w:rsid w:val="005C4F6C"/>
    <w:pPr>
      <w:ind w:left="720"/>
      <w:contextualSpacing/>
    </w:pPr>
  </w:style>
  <w:style w:type="character" w:customStyle="1" w:styleId="auto-style6">
    <w:name w:val="auto-style6"/>
    <w:basedOn w:val="Policepardfaut"/>
    <w:rsid w:val="005C4F6C"/>
  </w:style>
  <w:style w:type="character" w:customStyle="1" w:styleId="auto-style3">
    <w:name w:val="auto-style3"/>
    <w:basedOn w:val="Policepardfaut"/>
    <w:rsid w:val="0061321B"/>
  </w:style>
  <w:style w:type="character" w:customStyle="1" w:styleId="auto-style2">
    <w:name w:val="auto-style2"/>
    <w:basedOn w:val="Policepardfaut"/>
    <w:rsid w:val="0061321B"/>
  </w:style>
  <w:style w:type="paragraph" w:styleId="NormalWeb">
    <w:name w:val="Normal (Web)"/>
    <w:basedOn w:val="Normal"/>
    <w:uiPriority w:val="99"/>
    <w:semiHidden/>
    <w:unhideWhenUsed/>
    <w:rsid w:val="00937DE3"/>
    <w:pPr>
      <w:spacing w:before="100" w:beforeAutospacing="1" w:after="100" w:afterAutospacing="1"/>
    </w:pPr>
    <w:rPr>
      <w:rFonts w:ascii="Times New Roman" w:eastAsia="Times New Roman" w:hAnsi="Times New Roman" w:cs="Times New Roman"/>
      <w:lang w:eastAsia="fr-FR"/>
    </w:rPr>
  </w:style>
  <w:style w:type="character" w:styleId="Textedelespacerserv">
    <w:name w:val="Placeholder Text"/>
    <w:basedOn w:val="Policepardfaut"/>
    <w:uiPriority w:val="99"/>
    <w:semiHidden/>
    <w:rsid w:val="00FC755E"/>
    <w:rPr>
      <w:color w:val="808080"/>
    </w:rPr>
  </w:style>
  <w:style w:type="table" w:styleId="Grilledutableau">
    <w:name w:val="Table Grid"/>
    <w:basedOn w:val="TableauNormal"/>
    <w:uiPriority w:val="59"/>
    <w:rsid w:val="001D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D5B08"/>
    <w:pPr>
      <w:tabs>
        <w:tab w:val="center" w:pos="4536"/>
        <w:tab w:val="right" w:pos="9072"/>
      </w:tabs>
    </w:pPr>
  </w:style>
  <w:style w:type="character" w:customStyle="1" w:styleId="En-tteCar">
    <w:name w:val="En-tête Car"/>
    <w:basedOn w:val="Policepardfaut"/>
    <w:link w:val="En-tte"/>
    <w:uiPriority w:val="99"/>
    <w:rsid w:val="001D5B08"/>
  </w:style>
  <w:style w:type="paragraph" w:customStyle="1" w:styleId="Texte">
    <w:name w:val="Texte"/>
    <w:basedOn w:val="Normal"/>
    <w:link w:val="TexteCar"/>
    <w:qFormat/>
    <w:rsid w:val="00AD7788"/>
    <w:pPr>
      <w:spacing w:line="276" w:lineRule="auto"/>
      <w:jc w:val="both"/>
    </w:pPr>
    <w:rPr>
      <w:rFonts w:ascii="Calibri" w:eastAsia="Times New Roman" w:hAnsi="Calibri" w:cs="Calibri"/>
      <w:szCs w:val="22"/>
      <w:lang w:eastAsia="fr-FR"/>
    </w:rPr>
  </w:style>
  <w:style w:type="character" w:customStyle="1" w:styleId="TexteCar">
    <w:name w:val="Texte Car"/>
    <w:basedOn w:val="Policepardfaut"/>
    <w:link w:val="Texte"/>
    <w:rsid w:val="00AD7788"/>
    <w:rPr>
      <w:rFonts w:ascii="Calibri" w:eastAsia="Times New Roman" w:hAnsi="Calibri" w:cs="Calibri"/>
      <w:szCs w:val="22"/>
      <w:lang w:eastAsia="fr-FR"/>
    </w:rPr>
  </w:style>
  <w:style w:type="character" w:customStyle="1" w:styleId="SansinterligneCar">
    <w:name w:val="Sans interligne Car"/>
    <w:basedOn w:val="Policepardfaut"/>
    <w:link w:val="Sansinterligne"/>
    <w:uiPriority w:val="1"/>
    <w:rsid w:val="00AA4E5F"/>
  </w:style>
  <w:style w:type="paragraph" w:customStyle="1" w:styleId="Contenudetableau">
    <w:name w:val="Contenu de tableau"/>
    <w:basedOn w:val="Normal"/>
    <w:qFormat/>
    <w:rsid w:val="00AA4E5F"/>
    <w:pPr>
      <w:suppressLineNumbers/>
    </w:pPr>
    <w:rPr>
      <w:rFonts w:ascii="Liberation Serif" w:eastAsia="SimSun" w:hAnsi="Liberation Serif" w:cs="Lucida Sans"/>
      <w:kern w:val="2"/>
      <w:lang w:eastAsia="zh-CN" w:bidi="hi-IN"/>
    </w:rPr>
  </w:style>
  <w:style w:type="paragraph" w:styleId="Textedebulles">
    <w:name w:val="Balloon Text"/>
    <w:basedOn w:val="Normal"/>
    <w:link w:val="TextedebullesCar"/>
    <w:uiPriority w:val="99"/>
    <w:semiHidden/>
    <w:unhideWhenUsed/>
    <w:rsid w:val="00F63F1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63F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787188464">
          <w:marLeft w:val="0"/>
          <w:marRight w:val="0"/>
          <w:marTop w:val="0"/>
          <w:marBottom w:val="0"/>
          <w:divBdr>
            <w:top w:val="none" w:sz="0" w:space="0" w:color="auto"/>
            <w:left w:val="none" w:sz="0" w:space="0" w:color="auto"/>
            <w:bottom w:val="none" w:sz="0" w:space="0" w:color="auto"/>
            <w:right w:val="none" w:sz="0" w:space="0" w:color="auto"/>
          </w:divBdr>
          <w:divsChild>
            <w:div w:id="1050108327">
              <w:marLeft w:val="0"/>
              <w:marRight w:val="0"/>
              <w:marTop w:val="0"/>
              <w:marBottom w:val="0"/>
              <w:divBdr>
                <w:top w:val="none" w:sz="0" w:space="0" w:color="auto"/>
                <w:left w:val="none" w:sz="0" w:space="0" w:color="auto"/>
                <w:bottom w:val="none" w:sz="0" w:space="0" w:color="auto"/>
                <w:right w:val="none" w:sz="0" w:space="0" w:color="auto"/>
              </w:divBdr>
              <w:divsChild>
                <w:div w:id="2320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7281">
      <w:bodyDiv w:val="1"/>
      <w:marLeft w:val="0"/>
      <w:marRight w:val="0"/>
      <w:marTop w:val="0"/>
      <w:marBottom w:val="0"/>
      <w:divBdr>
        <w:top w:val="none" w:sz="0" w:space="0" w:color="auto"/>
        <w:left w:val="none" w:sz="0" w:space="0" w:color="auto"/>
        <w:bottom w:val="none" w:sz="0" w:space="0" w:color="auto"/>
        <w:right w:val="none" w:sz="0" w:space="0" w:color="auto"/>
      </w:divBdr>
    </w:div>
    <w:div w:id="727192259">
      <w:bodyDiv w:val="1"/>
      <w:marLeft w:val="0"/>
      <w:marRight w:val="0"/>
      <w:marTop w:val="0"/>
      <w:marBottom w:val="0"/>
      <w:divBdr>
        <w:top w:val="none" w:sz="0" w:space="0" w:color="auto"/>
        <w:left w:val="none" w:sz="0" w:space="0" w:color="auto"/>
        <w:bottom w:val="none" w:sz="0" w:space="0" w:color="auto"/>
        <w:right w:val="none" w:sz="0" w:space="0" w:color="auto"/>
      </w:divBdr>
    </w:div>
    <w:div w:id="1124929549">
      <w:bodyDiv w:val="1"/>
      <w:marLeft w:val="0"/>
      <w:marRight w:val="0"/>
      <w:marTop w:val="0"/>
      <w:marBottom w:val="0"/>
      <w:divBdr>
        <w:top w:val="none" w:sz="0" w:space="0" w:color="auto"/>
        <w:left w:val="none" w:sz="0" w:space="0" w:color="auto"/>
        <w:bottom w:val="none" w:sz="0" w:space="0" w:color="auto"/>
        <w:right w:val="none" w:sz="0" w:space="0" w:color="auto"/>
      </w:divBdr>
      <w:divsChild>
        <w:div w:id="1803037567">
          <w:marLeft w:val="0"/>
          <w:marRight w:val="0"/>
          <w:marTop w:val="0"/>
          <w:marBottom w:val="0"/>
          <w:divBdr>
            <w:top w:val="none" w:sz="0" w:space="0" w:color="auto"/>
            <w:left w:val="none" w:sz="0" w:space="0" w:color="auto"/>
            <w:bottom w:val="none" w:sz="0" w:space="0" w:color="auto"/>
            <w:right w:val="none" w:sz="0" w:space="0" w:color="auto"/>
          </w:divBdr>
          <w:divsChild>
            <w:div w:id="1229070925">
              <w:marLeft w:val="0"/>
              <w:marRight w:val="0"/>
              <w:marTop w:val="0"/>
              <w:marBottom w:val="0"/>
              <w:divBdr>
                <w:top w:val="none" w:sz="0" w:space="0" w:color="auto"/>
                <w:left w:val="none" w:sz="0" w:space="0" w:color="auto"/>
                <w:bottom w:val="none" w:sz="0" w:space="0" w:color="auto"/>
                <w:right w:val="none" w:sz="0" w:space="0" w:color="auto"/>
              </w:divBdr>
              <w:divsChild>
                <w:div w:id="369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5693">
      <w:bodyDiv w:val="1"/>
      <w:marLeft w:val="0"/>
      <w:marRight w:val="0"/>
      <w:marTop w:val="0"/>
      <w:marBottom w:val="0"/>
      <w:divBdr>
        <w:top w:val="none" w:sz="0" w:space="0" w:color="auto"/>
        <w:left w:val="none" w:sz="0" w:space="0" w:color="auto"/>
        <w:bottom w:val="none" w:sz="0" w:space="0" w:color="auto"/>
        <w:right w:val="none" w:sz="0" w:space="0" w:color="auto"/>
      </w:divBdr>
      <w:divsChild>
        <w:div w:id="956834310">
          <w:marLeft w:val="0"/>
          <w:marRight w:val="0"/>
          <w:marTop w:val="0"/>
          <w:marBottom w:val="0"/>
          <w:divBdr>
            <w:top w:val="none" w:sz="0" w:space="0" w:color="auto"/>
            <w:left w:val="none" w:sz="0" w:space="0" w:color="auto"/>
            <w:bottom w:val="none" w:sz="0" w:space="0" w:color="auto"/>
            <w:right w:val="none" w:sz="0" w:space="0" w:color="auto"/>
          </w:divBdr>
          <w:divsChild>
            <w:div w:id="1302156339">
              <w:marLeft w:val="0"/>
              <w:marRight w:val="0"/>
              <w:marTop w:val="0"/>
              <w:marBottom w:val="0"/>
              <w:divBdr>
                <w:top w:val="none" w:sz="0" w:space="0" w:color="auto"/>
                <w:left w:val="none" w:sz="0" w:space="0" w:color="auto"/>
                <w:bottom w:val="none" w:sz="0" w:space="0" w:color="auto"/>
                <w:right w:val="none" w:sz="0" w:space="0" w:color="auto"/>
              </w:divBdr>
              <w:divsChild>
                <w:div w:id="45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Jullien</dc:creator>
  <cp:keywords/>
  <dc:description/>
  <cp:lastModifiedBy>Margaux Jullien</cp:lastModifiedBy>
  <cp:revision>7</cp:revision>
  <cp:lastPrinted>2024-03-07T13:24:00Z</cp:lastPrinted>
  <dcterms:created xsi:type="dcterms:W3CDTF">2023-03-15T12:31:00Z</dcterms:created>
  <dcterms:modified xsi:type="dcterms:W3CDTF">2024-08-14T07:27:00Z</dcterms:modified>
</cp:coreProperties>
</file>