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A9A" w:rsidRDefault="008072BC" w:rsidP="008072BC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DS 1 – Enseignement scientifique</w:t>
      </w:r>
      <w:r>
        <w:rPr>
          <w:rFonts w:ascii="Calibri" w:hAnsi="Calibri"/>
          <w:b/>
          <w:bCs/>
          <w:sz w:val="30"/>
          <w:szCs w:val="30"/>
        </w:rPr>
        <w:t>,</w:t>
      </w:r>
      <w:r>
        <w:rPr>
          <w:rFonts w:ascii="Calibri" w:hAnsi="Calibri"/>
          <w:b/>
          <w:bCs/>
          <w:sz w:val="30"/>
          <w:szCs w:val="30"/>
        </w:rPr>
        <w:t xml:space="preserve"> Physique Chimie</w:t>
      </w:r>
      <w:r>
        <w:rPr>
          <w:rFonts w:ascii="Calibri" w:hAnsi="Calibri"/>
          <w:b/>
          <w:bCs/>
          <w:sz w:val="30"/>
          <w:szCs w:val="30"/>
        </w:rPr>
        <w:t xml:space="preserve"> – </w:t>
      </w:r>
      <w:r w:rsidR="008D75C9">
        <w:rPr>
          <w:rFonts w:ascii="Calibri" w:hAnsi="Calibri"/>
          <w:b/>
          <w:bCs/>
          <w:sz w:val="30"/>
          <w:szCs w:val="30"/>
        </w:rPr>
        <w:t>Correction</w:t>
      </w:r>
    </w:p>
    <w:p w:rsidR="00F21A9A" w:rsidRDefault="00F21A9A">
      <w:pPr>
        <w:pStyle w:val="Contenudetableau"/>
        <w:rPr>
          <w:rFonts w:ascii="Calibri" w:hAnsi="Calibri"/>
        </w:rPr>
      </w:pPr>
    </w:p>
    <w:p w:rsidR="00F21A9A" w:rsidRDefault="008D75C9">
      <w:pPr>
        <w:pStyle w:val="Contenudetableau"/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 xml:space="preserve">Exercice </w:t>
      </w:r>
      <w:r w:rsidR="008072BC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 xml:space="preserve"> : </w:t>
      </w:r>
      <w:r>
        <w:rPr>
          <w:rStyle w:val="Accentuationforte"/>
          <w:rFonts w:ascii="Calibri" w:hAnsi="Calibri"/>
          <w:sz w:val="28"/>
          <w:szCs w:val="28"/>
        </w:rPr>
        <w:t>Alternateur bouteille/alternateur moyeu</w:t>
      </w:r>
    </w:p>
    <w:p w:rsidR="00F21A9A" w:rsidRDefault="00F21A9A">
      <w:pPr>
        <w:pStyle w:val="Contenudetableau"/>
        <w:rPr>
          <w:rStyle w:val="Accentuationforte"/>
          <w:rFonts w:ascii="Calibri" w:hAnsi="Calibri"/>
          <w:b w:val="0"/>
          <w:bCs w:val="0"/>
          <w:sz w:val="28"/>
          <w:szCs w:val="28"/>
        </w:rPr>
      </w:pPr>
    </w:p>
    <w:p w:rsidR="00F21A9A" w:rsidRDefault="008D75C9" w:rsidP="008072BC">
      <w:pPr>
        <w:pStyle w:val="Contenudetableau"/>
        <w:jc w:val="both"/>
        <w:rPr>
          <w:rStyle w:val="Accentuationforte"/>
          <w:rFonts w:ascii="Calibri" w:hAnsi="Calibri"/>
          <w:b w:val="0"/>
          <w:bCs w:val="0"/>
        </w:rPr>
      </w:pPr>
      <w:r w:rsidRPr="00CC07ED">
        <w:rPr>
          <w:rStyle w:val="Accentuationforte"/>
          <w:rFonts w:ascii="Calibri" w:hAnsi="Calibri"/>
        </w:rPr>
        <w:t>1.</w:t>
      </w:r>
      <w:r>
        <w:rPr>
          <w:rStyle w:val="Accentuationforte"/>
          <w:rFonts w:ascii="Calibri" w:hAnsi="Calibri"/>
          <w:b w:val="0"/>
          <w:bCs w:val="0"/>
        </w:rPr>
        <w:t xml:space="preserve"> </w:t>
      </w:r>
      <w:r>
        <w:rPr>
          <w:rStyle w:val="Accentuationforte"/>
          <w:rFonts w:ascii="Calibri" w:hAnsi="Calibri"/>
          <w:b w:val="0"/>
          <w:bCs w:val="0"/>
        </w:rPr>
        <w:t>C'est le phénomène d'induction électromagnétique.</w:t>
      </w:r>
    </w:p>
    <w:p w:rsidR="00CC07ED" w:rsidRPr="00CC07ED" w:rsidRDefault="00CC07ED" w:rsidP="008072BC">
      <w:pPr>
        <w:pStyle w:val="Contenudetableau"/>
        <w:jc w:val="both"/>
        <w:rPr>
          <w:rStyle w:val="Accentuationforte"/>
          <w:b w:val="0"/>
          <w:bCs w:val="0"/>
          <w:sz w:val="12"/>
          <w:szCs w:val="15"/>
        </w:rPr>
      </w:pPr>
    </w:p>
    <w:p w:rsidR="00F21A9A" w:rsidRDefault="008D75C9" w:rsidP="008072BC">
      <w:pPr>
        <w:pStyle w:val="Contenudetableau"/>
        <w:jc w:val="both"/>
        <w:rPr>
          <w:rStyle w:val="Accentuationforte"/>
          <w:rFonts w:ascii="Calibri" w:hAnsi="Calibri"/>
          <w:b w:val="0"/>
          <w:bCs w:val="0"/>
        </w:rPr>
      </w:pPr>
      <w:r w:rsidRPr="00CC07ED">
        <w:rPr>
          <w:rStyle w:val="Accentuationforte"/>
          <w:rFonts w:ascii="Calibri" w:hAnsi="Calibri"/>
        </w:rPr>
        <w:t>2.</w:t>
      </w:r>
      <w:r>
        <w:rPr>
          <w:rStyle w:val="Accentuationforte"/>
          <w:rFonts w:ascii="Calibri" w:hAnsi="Calibri"/>
          <w:b w:val="0"/>
          <w:bCs w:val="0"/>
        </w:rPr>
        <w:t xml:space="preserve"> Un alternateur est composé d'une bobine et d'un aimant.</w:t>
      </w:r>
    </w:p>
    <w:p w:rsidR="00CC07ED" w:rsidRPr="00CC07ED" w:rsidRDefault="00CC07ED" w:rsidP="008072BC">
      <w:pPr>
        <w:pStyle w:val="Contenudetableau"/>
        <w:jc w:val="both"/>
        <w:rPr>
          <w:rStyle w:val="Accentuationforte"/>
          <w:b w:val="0"/>
          <w:bCs w:val="0"/>
          <w:sz w:val="15"/>
          <w:szCs w:val="15"/>
        </w:rPr>
      </w:pPr>
    </w:p>
    <w:p w:rsidR="00F21A9A" w:rsidRDefault="008D75C9" w:rsidP="008072BC">
      <w:pPr>
        <w:pStyle w:val="Contenudetableau"/>
        <w:jc w:val="both"/>
        <w:rPr>
          <w:rStyle w:val="Accentuationforte"/>
          <w:rFonts w:ascii="Calibri" w:hAnsi="Calibri"/>
          <w:b w:val="0"/>
          <w:bCs w:val="0"/>
        </w:rPr>
      </w:pPr>
      <w:r w:rsidRPr="00CC07ED">
        <w:rPr>
          <w:rStyle w:val="Accentuationforte"/>
          <w:rFonts w:ascii="Calibri" w:hAnsi="Calibri"/>
        </w:rPr>
        <w:t>3.</w:t>
      </w:r>
      <w:r>
        <w:rPr>
          <w:rStyle w:val="Accentuationforte"/>
          <w:rFonts w:ascii="Calibri" w:hAnsi="Calibri"/>
          <w:b w:val="0"/>
          <w:bCs w:val="0"/>
        </w:rPr>
        <w:t xml:space="preserve"> La puissance transmise à la roue vaut 2 % de 310 W soit 0,02 × 310 = 6,2 W. </w:t>
      </w:r>
    </w:p>
    <w:p w:rsidR="00CC07ED" w:rsidRPr="00CC07ED" w:rsidRDefault="00CC07ED" w:rsidP="008072BC">
      <w:pPr>
        <w:pStyle w:val="Contenudetableau"/>
        <w:jc w:val="both"/>
        <w:rPr>
          <w:rStyle w:val="Accentuationforte"/>
          <w:b w:val="0"/>
          <w:bCs w:val="0"/>
          <w:sz w:val="13"/>
          <w:szCs w:val="13"/>
        </w:rPr>
      </w:pPr>
    </w:p>
    <w:p w:rsidR="00F21A9A" w:rsidRDefault="008D75C9" w:rsidP="008072BC">
      <w:pPr>
        <w:pStyle w:val="Contenudetableau"/>
        <w:jc w:val="both"/>
        <w:rPr>
          <w:rStyle w:val="Accentuationforte"/>
          <w:rFonts w:ascii="Calibri" w:hAnsi="Calibri"/>
          <w:b w:val="0"/>
          <w:bCs w:val="0"/>
        </w:rPr>
      </w:pPr>
      <w:r w:rsidRPr="00CC07ED">
        <w:rPr>
          <w:rStyle w:val="Accentuationforte"/>
          <w:rFonts w:ascii="Calibri" w:hAnsi="Calibri"/>
        </w:rPr>
        <w:t>4.</w:t>
      </w:r>
      <w:r>
        <w:rPr>
          <w:rStyle w:val="Accentuationforte"/>
          <w:rFonts w:ascii="Calibri" w:hAnsi="Calibri"/>
          <w:b w:val="0"/>
          <w:bCs w:val="0"/>
        </w:rPr>
        <w:t xml:space="preserve"> Par lecture graphique on voit qu’à 20km⋅h</w:t>
      </w:r>
      <w:r>
        <w:rPr>
          <w:rStyle w:val="Accentuationforte"/>
          <w:rFonts w:ascii="Calibri" w:hAnsi="Calibri"/>
          <w:b w:val="0"/>
          <w:bCs w:val="0"/>
          <w:vertAlign w:val="superscript"/>
        </w:rPr>
        <w:t>−</w:t>
      </w:r>
      <w:r>
        <w:rPr>
          <w:rStyle w:val="Accentuationforte"/>
          <w:rFonts w:ascii="Calibri" w:hAnsi="Calibri"/>
          <w:b w:val="0"/>
          <w:bCs w:val="0"/>
          <w:vertAlign w:val="superscript"/>
        </w:rPr>
        <w:t>1</w:t>
      </w:r>
      <w:r>
        <w:rPr>
          <w:rStyle w:val="Accentuationforte"/>
          <w:rFonts w:ascii="Calibri" w:hAnsi="Calibri"/>
          <w:b w:val="0"/>
          <w:bCs w:val="0"/>
        </w:rPr>
        <w:t xml:space="preserve"> la dynamo bouteille a une puissance de 3,2 W et celle à moyeu de 5,2 W. </w:t>
      </w:r>
    </w:p>
    <w:p w:rsidR="00CC07ED" w:rsidRPr="00CC07ED" w:rsidRDefault="00CC07ED" w:rsidP="008072BC">
      <w:pPr>
        <w:pStyle w:val="Contenudetableau"/>
        <w:jc w:val="both"/>
        <w:rPr>
          <w:rStyle w:val="Accentuationforte"/>
          <w:b w:val="0"/>
          <w:bCs w:val="0"/>
          <w:sz w:val="13"/>
          <w:szCs w:val="13"/>
        </w:rPr>
      </w:pPr>
    </w:p>
    <w:p w:rsidR="00F21A9A" w:rsidRDefault="008D75C9" w:rsidP="008072BC">
      <w:pPr>
        <w:pStyle w:val="Contenudetableau"/>
        <w:jc w:val="both"/>
        <w:rPr>
          <w:rFonts w:hint="eastAsia"/>
        </w:rPr>
      </w:pPr>
      <w:r w:rsidRPr="00CC07ED">
        <w:rPr>
          <w:rStyle w:val="Accentuationforte"/>
          <w:rFonts w:ascii="Calibri" w:hAnsi="Calibri"/>
        </w:rPr>
        <w:t>5.</w:t>
      </w:r>
      <w:r w:rsidR="00CC07ED">
        <w:rPr>
          <w:rStyle w:val="Accentuationforte"/>
          <w:rFonts w:ascii="Calibri" w:hAnsi="Calibri"/>
          <w:b w:val="0"/>
          <w:bCs w:val="0"/>
        </w:rPr>
        <w:t xml:space="preserve"> </w:t>
      </w:r>
      <w:r>
        <w:rPr>
          <w:rStyle w:val="Accentuationforte"/>
          <w:rFonts w:ascii="Calibri" w:hAnsi="Calibri"/>
          <w:b w:val="0"/>
          <w:bCs w:val="0"/>
        </w:rPr>
        <w:t xml:space="preserve">Le rendement de la dynamo bouteille vaut </w:t>
      </w:r>
      <m:oMath>
        <m:r>
          <w:rPr>
            <w:rStyle w:val="Accentuationforte"/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3.2</m:t>
            </m:r>
          </m:num>
          <m:den>
            <m:r>
              <w:rPr>
                <w:rFonts w:ascii="Cambria Math" w:hAnsi="Cambria Math"/>
              </w:rPr>
              <m:t>6.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Style w:val="Accentuationforte"/>
            <w:rFonts w:ascii="Cambria Math" w:hAnsi="Cambria Math"/>
          </w:rPr>
          <m:t>=52 %</m:t>
        </m:r>
      </m:oMath>
    </w:p>
    <w:p w:rsidR="00F21A9A" w:rsidRDefault="008D75C9" w:rsidP="008072BC">
      <w:pPr>
        <w:pStyle w:val="Contenudetableau"/>
        <w:jc w:val="both"/>
        <w:rPr>
          <w:rStyle w:val="Accentuationforte"/>
          <w:rFonts w:ascii="Calibri" w:hAnsi="Calibri"/>
          <w:b w:val="0"/>
          <w:bCs w:val="0"/>
        </w:rPr>
      </w:pPr>
      <w:r>
        <w:rPr>
          <w:rStyle w:val="Accentuationforte"/>
          <w:rFonts w:ascii="Calibri" w:hAnsi="Calibri"/>
          <w:b w:val="0"/>
          <w:bCs w:val="0"/>
        </w:rPr>
        <w:t xml:space="preserve">Celle de la dynamo moyeu vaut </w:t>
      </w:r>
      <m:oMath>
        <m:r>
          <w:rPr>
            <w:rStyle w:val="Accentuationforte"/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5,2</m:t>
            </m:r>
          </m:num>
          <m:den>
            <m:r>
              <w:rPr>
                <w:rFonts w:ascii="Cambria Math" w:hAnsi="Cambria Math"/>
              </w:rPr>
              <m:t>6,2</m:t>
            </m:r>
          </m:den>
        </m:f>
        <m:r>
          <w:rPr>
            <w:rStyle w:val="Accentuationforte"/>
            <w:rFonts w:ascii="Cambria Math" w:hAnsi="Cambria Math"/>
          </w:rPr>
          <m:t>=84 %</m:t>
        </m:r>
      </m:oMath>
    </w:p>
    <w:p w:rsidR="00CC07ED" w:rsidRPr="00CC07ED" w:rsidRDefault="00CC07ED" w:rsidP="008072BC">
      <w:pPr>
        <w:pStyle w:val="Contenudetableau"/>
        <w:jc w:val="both"/>
        <w:rPr>
          <w:rStyle w:val="Accentuationforte"/>
          <w:b w:val="0"/>
          <w:bCs w:val="0"/>
          <w:sz w:val="15"/>
          <w:szCs w:val="15"/>
        </w:rPr>
      </w:pPr>
    </w:p>
    <w:p w:rsidR="00F21A9A" w:rsidRDefault="008D75C9" w:rsidP="008072BC">
      <w:pPr>
        <w:pStyle w:val="Contenudetableau"/>
        <w:jc w:val="both"/>
        <w:rPr>
          <w:rFonts w:hint="eastAsia"/>
        </w:rPr>
      </w:pPr>
      <w:r w:rsidRPr="00CC07ED">
        <w:rPr>
          <w:rStyle w:val="Accentuationforte"/>
          <w:rFonts w:ascii="Calibri" w:hAnsi="Calibri"/>
        </w:rPr>
        <w:t>6.</w:t>
      </w:r>
      <w:r>
        <w:rPr>
          <w:rStyle w:val="Accentuationforte"/>
          <w:rFonts w:ascii="Calibri" w:hAnsi="Calibri"/>
          <w:b w:val="0"/>
          <w:bCs w:val="0"/>
        </w:rPr>
        <w:t xml:space="preserve"> Produire une puissance </w:t>
      </w:r>
      <w:r w:rsidR="008072BC">
        <w:rPr>
          <w:rStyle w:val="Accentuationforte"/>
          <w:rFonts w:ascii="Calibri" w:hAnsi="Calibri"/>
          <w:b w:val="0"/>
          <w:bCs w:val="0"/>
        </w:rPr>
        <w:t>é</w:t>
      </w:r>
      <w:r>
        <w:rPr>
          <w:rStyle w:val="Accentuationforte"/>
          <w:rFonts w:ascii="Calibri" w:hAnsi="Calibri"/>
          <w:b w:val="0"/>
          <w:bCs w:val="0"/>
        </w:rPr>
        <w:t>lectrique sup</w:t>
      </w:r>
      <w:r w:rsidR="008072BC">
        <w:rPr>
          <w:rStyle w:val="Accentuationforte"/>
          <w:rFonts w:ascii="Calibri" w:hAnsi="Calibri"/>
          <w:b w:val="0"/>
          <w:bCs w:val="0"/>
        </w:rPr>
        <w:t>é</w:t>
      </w:r>
      <w:r>
        <w:rPr>
          <w:rStyle w:val="Accentuationforte"/>
          <w:rFonts w:ascii="Calibri" w:hAnsi="Calibri"/>
          <w:b w:val="0"/>
          <w:bCs w:val="0"/>
        </w:rPr>
        <w:t>rieure permet d’avoir le maximum de puissance</w:t>
      </w:r>
      <w:r w:rsidR="00CC07ED">
        <w:rPr>
          <w:rStyle w:val="Accentuationforte"/>
          <w:rFonts w:ascii="Calibri" w:hAnsi="Calibri"/>
          <w:b w:val="0"/>
          <w:bCs w:val="0"/>
        </w:rPr>
        <w:t xml:space="preserve"> </w:t>
      </w:r>
      <w:r>
        <w:rPr>
          <w:rStyle w:val="Accentuationforte"/>
          <w:rFonts w:ascii="Calibri" w:hAnsi="Calibri"/>
          <w:b w:val="0"/>
          <w:bCs w:val="0"/>
        </w:rPr>
        <w:t>transmise et donc, malgr</w:t>
      </w:r>
      <w:r w:rsidR="008072BC">
        <w:rPr>
          <w:rStyle w:val="Accentuationforte"/>
          <w:rFonts w:ascii="Calibri" w:hAnsi="Calibri"/>
          <w:b w:val="0"/>
          <w:bCs w:val="0"/>
        </w:rPr>
        <w:t>é</w:t>
      </w:r>
      <w:r>
        <w:rPr>
          <w:rStyle w:val="Accentuationforte"/>
          <w:rFonts w:ascii="Calibri" w:hAnsi="Calibri"/>
          <w:b w:val="0"/>
          <w:bCs w:val="0"/>
        </w:rPr>
        <w:t xml:space="preserve"> les pertes, d’avoir un </w:t>
      </w:r>
      <w:r w:rsidR="008072BC">
        <w:rPr>
          <w:rStyle w:val="Accentuationforte"/>
          <w:rFonts w:ascii="Calibri" w:hAnsi="Calibri"/>
          <w:b w:val="0"/>
          <w:bCs w:val="0"/>
        </w:rPr>
        <w:t>é</w:t>
      </w:r>
      <w:r>
        <w:rPr>
          <w:rStyle w:val="Accentuationforte"/>
          <w:rFonts w:ascii="Calibri" w:hAnsi="Calibri"/>
          <w:b w:val="0"/>
          <w:bCs w:val="0"/>
        </w:rPr>
        <w:t xml:space="preserve">clairage. </w:t>
      </w:r>
    </w:p>
    <w:p w:rsidR="008072BC" w:rsidRDefault="008D75C9" w:rsidP="00CC07ED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</w:rPr>
        <w:br/>
      </w:r>
      <w:r w:rsidR="008072BC">
        <w:rPr>
          <w:rFonts w:ascii="Calibri" w:hAnsi="Calibri"/>
          <w:b/>
          <w:bCs/>
          <w:sz w:val="28"/>
          <w:szCs w:val="28"/>
        </w:rPr>
        <w:t xml:space="preserve">Exercice </w:t>
      </w:r>
      <w:r w:rsidR="008072BC">
        <w:rPr>
          <w:rFonts w:ascii="Calibri" w:hAnsi="Calibri"/>
          <w:b/>
          <w:bCs/>
          <w:sz w:val="28"/>
          <w:szCs w:val="28"/>
        </w:rPr>
        <w:t>2</w:t>
      </w:r>
      <w:r w:rsidR="008072BC">
        <w:rPr>
          <w:rFonts w:ascii="Calibri" w:hAnsi="Calibri"/>
          <w:b/>
          <w:bCs/>
          <w:sz w:val="28"/>
          <w:szCs w:val="28"/>
        </w:rPr>
        <w:t xml:space="preserve"> : Les panneaux solaires de l’ISS </w:t>
      </w:r>
    </w:p>
    <w:p w:rsidR="008072BC" w:rsidRDefault="008072BC" w:rsidP="008072BC">
      <w:pPr>
        <w:rPr>
          <w:rFonts w:ascii="Calibri" w:hAnsi="Calibri"/>
          <w:b/>
          <w:bCs/>
        </w:rPr>
      </w:pPr>
    </w:p>
    <w:p w:rsidR="005D2846" w:rsidRPr="005D2846" w:rsidRDefault="005D2846" w:rsidP="008072BC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1. </w:t>
      </w:r>
      <w:r>
        <w:rPr>
          <w:rFonts w:ascii="Calibri" w:hAnsi="Calibri"/>
        </w:rPr>
        <w:t xml:space="preserve">UV : </w:t>
      </w:r>
      <w:r w:rsidR="008D75C9">
        <w:rPr>
          <w:rFonts w:ascii="Calibri" w:hAnsi="Calibri"/>
        </w:rPr>
        <w:t xml:space="preserve">de 200 à </w:t>
      </w:r>
      <w:r>
        <w:rPr>
          <w:rFonts w:ascii="Calibri" w:hAnsi="Calibri"/>
        </w:rPr>
        <w:t xml:space="preserve">400 nm ; visible : entre 400 et </w:t>
      </w:r>
      <w:r w:rsidR="008D75C9">
        <w:rPr>
          <w:rFonts w:ascii="Calibri" w:hAnsi="Calibri"/>
        </w:rPr>
        <w:t>80</w:t>
      </w:r>
      <w:r>
        <w:rPr>
          <w:rFonts w:ascii="Calibri" w:hAnsi="Calibri"/>
        </w:rPr>
        <w:t xml:space="preserve">0 nm ; IR : au-dessus de </w:t>
      </w:r>
      <w:r w:rsidR="008D75C9">
        <w:rPr>
          <w:rFonts w:ascii="Calibri" w:hAnsi="Calibri"/>
        </w:rPr>
        <w:t>80</w:t>
      </w:r>
      <w:r>
        <w:rPr>
          <w:rFonts w:ascii="Calibri" w:hAnsi="Calibri"/>
        </w:rPr>
        <w:t>0 nm</w:t>
      </w:r>
    </w:p>
    <w:p w:rsidR="005D2846" w:rsidRPr="005D2846" w:rsidRDefault="005D2846" w:rsidP="008072BC">
      <w:pPr>
        <w:rPr>
          <w:rFonts w:ascii="Calibri" w:hAnsi="Calibri"/>
          <w:b/>
          <w:bCs/>
          <w:sz w:val="15"/>
          <w:szCs w:val="15"/>
        </w:rPr>
      </w:pPr>
    </w:p>
    <w:p w:rsidR="008072BC" w:rsidRDefault="005D2846" w:rsidP="008072BC">
      <w:pPr>
        <w:rPr>
          <w:rFonts w:ascii="Calibri" w:hAnsi="Calibri"/>
        </w:rPr>
      </w:pPr>
      <w:r>
        <w:rPr>
          <w:rFonts w:ascii="Calibri" w:hAnsi="Calibri"/>
          <w:b/>
          <w:bCs/>
        </w:rPr>
        <w:t>2</w:t>
      </w:r>
      <w:r w:rsidR="008072BC">
        <w:rPr>
          <w:rFonts w:ascii="Calibri" w:hAnsi="Calibri"/>
          <w:b/>
          <w:bCs/>
        </w:rPr>
        <w:t xml:space="preserve">. </w:t>
      </w:r>
      <w:r w:rsidR="008072BC">
        <w:rPr>
          <w:rFonts w:ascii="Calibri" w:hAnsi="Calibri"/>
        </w:rPr>
        <w:t>Soient S la surface totale</w:t>
      </w:r>
      <w:r w:rsidR="009F5CE3">
        <w:rPr>
          <w:rFonts w:ascii="Calibri" w:hAnsi="Calibri"/>
        </w:rPr>
        <w:t xml:space="preserve"> : </w:t>
      </w:r>
      <w:r w:rsidR="008072BC">
        <w:rPr>
          <w:rFonts w:ascii="Calibri" w:hAnsi="Calibri"/>
        </w:rPr>
        <w:t>S = 8 × 34 × 12 = 3 264 m²</w:t>
      </w:r>
    </w:p>
    <w:p w:rsidR="00CC07ED" w:rsidRPr="00CC07ED" w:rsidRDefault="00CC07ED" w:rsidP="008072BC">
      <w:pPr>
        <w:rPr>
          <w:rFonts w:ascii="Calibri" w:hAnsi="Calibri"/>
          <w:sz w:val="15"/>
          <w:szCs w:val="15"/>
        </w:rPr>
      </w:pPr>
    </w:p>
    <w:p w:rsidR="008072BC" w:rsidRDefault="005D2846" w:rsidP="008072BC">
      <w:pPr>
        <w:rPr>
          <w:rFonts w:hint="eastAsia"/>
        </w:rPr>
      </w:pPr>
      <w:r>
        <w:rPr>
          <w:rFonts w:ascii="Calibri" w:hAnsi="Calibri"/>
          <w:b/>
          <w:bCs/>
        </w:rPr>
        <w:t>3</w:t>
      </w:r>
      <w:r w:rsidR="008072BC">
        <w:rPr>
          <w:rFonts w:ascii="Calibri" w:hAnsi="Calibri"/>
          <w:b/>
          <w:bCs/>
        </w:rPr>
        <w:t>.</w:t>
      </w:r>
      <w:r w:rsidR="008072BC">
        <w:rPr>
          <w:rFonts w:ascii="Calibri" w:hAnsi="Calibri"/>
        </w:rPr>
        <w:t xml:space="preserve"> </w:t>
      </w:r>
      <w:proofErr w:type="spellStart"/>
      <w:r w:rsidR="008072BC">
        <w:rPr>
          <w:rFonts w:ascii="Calibri" w:hAnsi="Calibri"/>
        </w:rPr>
        <w:t>P</w:t>
      </w:r>
      <w:r w:rsidR="008072BC" w:rsidRPr="005B75BE">
        <w:rPr>
          <w:rFonts w:ascii="Calibri" w:hAnsi="Calibri"/>
          <w:vertAlign w:val="subscript"/>
        </w:rPr>
        <w:t>max</w:t>
      </w:r>
      <w:proofErr w:type="spellEnd"/>
      <w:r w:rsidR="008072BC">
        <w:rPr>
          <w:rFonts w:ascii="Calibri" w:hAnsi="Calibri"/>
        </w:rPr>
        <w:t>(</w:t>
      </w:r>
      <w:proofErr w:type="spellStart"/>
      <w:r w:rsidR="008072BC">
        <w:rPr>
          <w:rFonts w:ascii="Calibri" w:hAnsi="Calibri"/>
        </w:rPr>
        <w:t>tot</w:t>
      </w:r>
      <w:proofErr w:type="spellEnd"/>
      <w:r w:rsidR="008072BC">
        <w:rPr>
          <w:rFonts w:ascii="Calibri" w:hAnsi="Calibri"/>
        </w:rPr>
        <w:t>) = 8 × 32,8 = 262,4 kW</w:t>
      </w:r>
    </w:p>
    <w:p w:rsidR="008072BC" w:rsidRDefault="008072BC" w:rsidP="008072BC">
      <w:pPr>
        <w:rPr>
          <w:rFonts w:hint="eastAsia"/>
        </w:rPr>
      </w:pPr>
      <w:proofErr w:type="spellStart"/>
      <w:r>
        <w:rPr>
          <w:rFonts w:ascii="Calibri" w:hAnsi="Calibri"/>
        </w:rPr>
        <w:t>P</w:t>
      </w:r>
      <w:r>
        <w:rPr>
          <w:rFonts w:ascii="Calibri" w:hAnsi="Calibri"/>
          <w:vertAlign w:val="subscript"/>
        </w:rPr>
        <w:t>max</w:t>
      </w:r>
      <w:proofErr w:type="spellEnd"/>
      <w:r>
        <w:rPr>
          <w:rFonts w:ascii="Calibri" w:hAnsi="Calibri"/>
        </w:rPr>
        <w:t xml:space="preserve">(surface)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32,8×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12×34</m:t>
            </m:r>
          </m:den>
        </m:f>
      </m:oMath>
      <w:r>
        <w:rPr>
          <w:rFonts w:ascii="Calibri" w:hAnsi="Calibri"/>
        </w:rPr>
        <w:t>= 80,4 W · m</w:t>
      </w:r>
      <w:r>
        <w:rPr>
          <w:rFonts w:ascii="Calibri" w:hAnsi="Calibri"/>
          <w:vertAlign w:val="superscript"/>
        </w:rPr>
        <w:t>-2</w:t>
      </w:r>
    </w:p>
    <w:p w:rsidR="008072BC" w:rsidRPr="00CC07ED" w:rsidRDefault="008072BC" w:rsidP="008072BC">
      <w:pPr>
        <w:rPr>
          <w:rFonts w:ascii="Calibri" w:hAnsi="Calibri"/>
          <w:sz w:val="15"/>
          <w:szCs w:val="15"/>
        </w:rPr>
      </w:pPr>
    </w:p>
    <w:p w:rsidR="008072BC" w:rsidRDefault="005D2846" w:rsidP="008072BC">
      <w:pPr>
        <w:rPr>
          <w:rFonts w:ascii="Calibri" w:hAnsi="Calibri"/>
        </w:rPr>
      </w:pPr>
      <w:r>
        <w:rPr>
          <w:rFonts w:ascii="Calibri" w:hAnsi="Calibri"/>
          <w:b/>
          <w:bCs/>
        </w:rPr>
        <w:t>4</w:t>
      </w:r>
      <w:r w:rsidR="008072BC">
        <w:rPr>
          <w:rFonts w:ascii="Calibri" w:hAnsi="Calibri"/>
          <w:b/>
          <w:bCs/>
        </w:rPr>
        <w:t>.</w:t>
      </w:r>
      <w:r w:rsidR="008072BC"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⁡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surface</m:t>
                </m:r>
              </m:e>
            </m:d>
          </m:num>
          <m:den>
            <m:r>
              <w:rPr>
                <w:rFonts w:ascii="Cambria Math" w:hAnsi="Cambria Math"/>
              </w:rPr>
              <m:t>Constante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solaire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80,4</m:t>
            </m:r>
          </m:num>
          <m:den>
            <m:r>
              <w:rPr>
                <w:rFonts w:ascii="Cambria Math" w:hAnsi="Cambria Math"/>
              </w:rPr>
              <m:t>1360</m:t>
            </m:r>
          </m:den>
        </m:f>
        <m:r>
          <w:rPr>
            <w:rFonts w:ascii="Cambria Math" w:hAnsi="Cambria Math"/>
          </w:rPr>
          <m:t>=5,91%</m:t>
        </m:r>
      </m:oMath>
    </w:p>
    <w:p w:rsidR="003D2B3C" w:rsidRPr="003D2B3C" w:rsidRDefault="003D2B3C" w:rsidP="008072BC">
      <w:pPr>
        <w:rPr>
          <w:rFonts w:ascii="Calibri" w:hAnsi="Calibri"/>
          <w:sz w:val="13"/>
          <w:szCs w:val="13"/>
        </w:rPr>
      </w:pPr>
    </w:p>
    <w:p w:rsidR="008072BC" w:rsidRDefault="000B3EF7" w:rsidP="008072BC">
      <w:pPr>
        <w:jc w:val="both"/>
        <w:rPr>
          <w:rFonts w:hint="eastAsia"/>
        </w:rPr>
      </w:pPr>
      <w:r>
        <w:rPr>
          <w:rFonts w:ascii="Calibri" w:hAnsi="Calibri"/>
          <w:b/>
          <w:bCs/>
        </w:rPr>
        <w:t>5</w:t>
      </w:r>
      <w:r w:rsidR="008072BC">
        <w:rPr>
          <w:rFonts w:ascii="Calibri" w:hAnsi="Calibri"/>
          <w:b/>
          <w:bCs/>
        </w:rPr>
        <w:t xml:space="preserve">. </w:t>
      </w:r>
      <w:r w:rsidR="008072BC">
        <w:rPr>
          <w:rFonts w:ascii="Calibri" w:hAnsi="Calibri"/>
        </w:rPr>
        <w:t>On calcule la surface des 32 800 cellules photovoltaïques, chacune étant un carré de 8 cm de côté (soit 8 × 8 = 64 cm²).</w:t>
      </w:r>
    </w:p>
    <w:p w:rsidR="009B3276" w:rsidRDefault="008072BC" w:rsidP="008072BC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</w:t>
      </w:r>
      <w:r>
        <w:rPr>
          <w:rFonts w:ascii="Calibri" w:hAnsi="Calibri"/>
          <w:vertAlign w:val="subscript"/>
        </w:rPr>
        <w:t>utile</w:t>
      </w:r>
      <w:proofErr w:type="spellEnd"/>
      <w:r>
        <w:rPr>
          <w:rFonts w:ascii="Calibri" w:hAnsi="Calibri"/>
        </w:rPr>
        <w:t xml:space="preserve"> = 8 × 32 800 × 64 × 10</w:t>
      </w:r>
      <w:r>
        <w:rPr>
          <w:rFonts w:ascii="Calibri" w:hAnsi="Calibri"/>
          <w:vertAlign w:val="superscript"/>
        </w:rPr>
        <w:t>-4</w:t>
      </w:r>
      <w:r>
        <w:rPr>
          <w:rFonts w:ascii="Calibri" w:hAnsi="Calibri"/>
        </w:rPr>
        <w:t xml:space="preserve"> = 1 680 m².</w:t>
      </w:r>
    </w:p>
    <w:p w:rsidR="008072BC" w:rsidRPr="009B3276" w:rsidRDefault="008072BC" w:rsidP="009B3276">
      <w:pPr>
        <w:jc w:val="both"/>
      </w:pPr>
      <w:r>
        <w:rPr>
          <w:rFonts w:ascii="Calibri" w:hAnsi="Calibri"/>
        </w:rPr>
        <w:t xml:space="preserve">D’après le doc.2, 32 800 cellules photovoltaïques produisent une puissance maximale de 32,8 kW, soit 32 800 W. On en déduit que chaque cellule photovoltaïque (de 64 cm²) produit une puissance maximale de 1 W. </w:t>
      </w:r>
    </w:p>
    <w:p w:rsidR="008072BC" w:rsidRPr="009B3276" w:rsidRDefault="008072BC" w:rsidP="008072BC">
      <w:pPr>
        <w:pStyle w:val="Contenudetableau"/>
      </w:pPr>
      <w:proofErr w:type="spellStart"/>
      <w:r>
        <w:rPr>
          <w:rFonts w:ascii="Calibri" w:hAnsi="Calibri"/>
        </w:rPr>
        <w:t>P</w:t>
      </w:r>
      <w:r>
        <w:rPr>
          <w:rFonts w:ascii="Calibri" w:hAnsi="Calibri"/>
          <w:sz w:val="14"/>
        </w:rPr>
        <w:t>surface</w:t>
      </w:r>
      <w:proofErr w:type="spellEnd"/>
      <w:r>
        <w:rPr>
          <w:rFonts w:ascii="Calibri" w:hAnsi="Calibri"/>
          <w:sz w:val="14"/>
        </w:rPr>
        <w:t xml:space="preserve"> utile </w:t>
      </w:r>
      <w:r>
        <w:rPr>
          <w:rFonts w:ascii="Calibri" w:hAnsi="Calibri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  <w:r>
        <w:rPr>
          <w:rFonts w:ascii="Calibri" w:hAnsi="Calibri"/>
        </w:rPr>
        <w:t>= 156 W · m</w:t>
      </w:r>
      <w:r>
        <w:rPr>
          <w:rFonts w:ascii="Calibri" w:hAnsi="Calibri"/>
          <w:vertAlign w:val="superscript"/>
        </w:rPr>
        <w:t xml:space="preserve">-2  </w:t>
      </w:r>
      <w:r>
        <w:rPr>
          <w:rFonts w:ascii="Calibri" w:hAnsi="Calibri"/>
        </w:rPr>
        <w:t xml:space="preserve"> soit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surface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utile</m:t>
                    </m:r>
                  </m:e>
                </m:d>
              </m:sub>
            </m:sSub>
          </m:num>
          <m:den>
            <m:r>
              <w:rPr>
                <w:rFonts w:ascii="Cambria Math" w:hAnsi="Cambria Math"/>
              </w:rPr>
              <m:t>Constante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solaire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156</m:t>
            </m:r>
          </m:num>
          <m:den>
            <m:r>
              <w:rPr>
                <w:rFonts w:ascii="Cambria Math" w:hAnsi="Cambria Math"/>
              </w:rPr>
              <m:t>1360,25</m:t>
            </m:r>
          </m:den>
        </m:f>
        <m:r>
          <w:rPr>
            <w:rFonts w:ascii="Cambria Math" w:hAnsi="Cambria Math"/>
          </w:rPr>
          <m:t>=11,5 %</m:t>
        </m:r>
      </m:oMath>
    </w:p>
    <w:p w:rsidR="00CA2F0F" w:rsidRDefault="00CA2F0F" w:rsidP="008072BC">
      <w:pPr>
        <w:pStyle w:val="Contenudetableau"/>
        <w:jc w:val="both"/>
        <w:rPr>
          <w:rFonts w:ascii="Calibri" w:hAnsi="Calibri"/>
          <w:b/>
          <w:bCs/>
        </w:rPr>
      </w:pPr>
    </w:p>
    <w:p w:rsidR="008072BC" w:rsidRDefault="000B3EF7" w:rsidP="008072BC">
      <w:pPr>
        <w:pStyle w:val="Contenudetableau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6</w:t>
      </w:r>
      <w:r w:rsidR="008072BC">
        <w:rPr>
          <w:rFonts w:ascii="Calibri" w:hAnsi="Calibri"/>
          <w:b/>
          <w:bCs/>
        </w:rPr>
        <w:t>.</w:t>
      </w:r>
      <w:r w:rsidR="008072BC">
        <w:rPr>
          <w:rFonts w:ascii="Calibri" w:hAnsi="Calibri"/>
        </w:rPr>
        <w:t xml:space="preserve"> L’atmosphère filtre une partie du spectre solaire. Aussi, au-dessus de l’atmosphère, on trouve plus d’UV</w:t>
      </w:r>
      <w:r w:rsidR="00E176C8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>et le spectre est plus continu, correspondant à un spectre dit de corps noir (pas d’absorption de larges</w:t>
      </w:r>
      <w:r w:rsidR="00E176C8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>bandes dans l’IR entre 750 et 1 000 nm contrairement à ce qu’on observe au niveau de la mer). De plus,</w:t>
      </w:r>
      <w:r w:rsidR="00E176C8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 xml:space="preserve">l’intensité lumineuse globale est plus élevée avant absorption par l’atmosphère. </w:t>
      </w:r>
    </w:p>
    <w:p w:rsidR="00CC07ED" w:rsidRPr="00CC07ED" w:rsidRDefault="00CC07ED" w:rsidP="008072BC">
      <w:pPr>
        <w:pStyle w:val="Contenudetableau"/>
        <w:jc w:val="both"/>
        <w:rPr>
          <w:sz w:val="12"/>
          <w:szCs w:val="15"/>
        </w:rPr>
      </w:pPr>
    </w:p>
    <w:p w:rsidR="00F21A9A" w:rsidRDefault="00CA2F0F" w:rsidP="000B3EF7">
      <w:pPr>
        <w:pStyle w:val="Contenudetableau"/>
        <w:jc w:val="both"/>
        <w:rPr>
          <w:rFonts w:hint="eastAsia"/>
        </w:rPr>
      </w:pPr>
      <w:r>
        <w:rPr>
          <w:rFonts w:ascii="Calibri" w:hAnsi="Calibri"/>
          <w:b/>
          <w:bCs/>
        </w:rPr>
        <w:t>7</w:t>
      </w:r>
      <w:r w:rsidR="008072BC">
        <w:rPr>
          <w:rFonts w:ascii="Calibri" w:hAnsi="Calibri"/>
          <w:b/>
          <w:bCs/>
        </w:rPr>
        <w:t>.</w:t>
      </w:r>
      <w:r w:rsidR="008072BC">
        <w:rPr>
          <w:rFonts w:ascii="Calibri" w:hAnsi="Calibri"/>
        </w:rPr>
        <w:t xml:space="preserve"> Sur Terre ces panneaux continueraient de fonctionner mais ne tireraient en particulier pas profit de la</w:t>
      </w:r>
      <w:r w:rsidR="008072BC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>partie UV qui est filtrée par l’atmosphère. On préfère sur Terre d’autres matériaux, plus adaptés au</w:t>
      </w:r>
      <w:r w:rsidR="00F073D6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>spectre solaire qui est reçu au niveau du sol (différent du spectre solaire dans l’espace comme montré</w:t>
      </w:r>
      <w:r w:rsidR="008072BC">
        <w:rPr>
          <w:rFonts w:ascii="Calibri" w:hAnsi="Calibri"/>
        </w:rPr>
        <w:t xml:space="preserve"> </w:t>
      </w:r>
      <w:r w:rsidR="008072BC">
        <w:rPr>
          <w:rFonts w:ascii="Calibri" w:hAnsi="Calibri"/>
        </w:rPr>
        <w:t>dans le doc.3).</w:t>
      </w:r>
    </w:p>
    <w:sectPr w:rsidR="00F21A9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9A"/>
    <w:rsid w:val="000B3EF7"/>
    <w:rsid w:val="003D2B3C"/>
    <w:rsid w:val="005B75BE"/>
    <w:rsid w:val="005D2846"/>
    <w:rsid w:val="007C510B"/>
    <w:rsid w:val="008072BC"/>
    <w:rsid w:val="008B5439"/>
    <w:rsid w:val="008D75C9"/>
    <w:rsid w:val="00942190"/>
    <w:rsid w:val="009B3276"/>
    <w:rsid w:val="009F5CE3"/>
    <w:rsid w:val="00B77FF9"/>
    <w:rsid w:val="00BB09B2"/>
    <w:rsid w:val="00C33A5B"/>
    <w:rsid w:val="00C812A7"/>
    <w:rsid w:val="00CA2F0F"/>
    <w:rsid w:val="00CC07ED"/>
    <w:rsid w:val="00E176C8"/>
    <w:rsid w:val="00F073D6"/>
    <w:rsid w:val="00F2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89505"/>
  <w15:docId w15:val="{8EB3ED09-FA0E-6544-B88D-AF64BB1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CC07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Margaux Jullien</cp:lastModifiedBy>
  <cp:revision>23</cp:revision>
  <cp:lastPrinted>2020-10-19T12:22:00Z</cp:lastPrinted>
  <dcterms:created xsi:type="dcterms:W3CDTF">2020-10-03T19:28:00Z</dcterms:created>
  <dcterms:modified xsi:type="dcterms:W3CDTF">2020-10-19T12:56:00Z</dcterms:modified>
  <dc:language>fr-FR</dc:language>
</cp:coreProperties>
</file>