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F1C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7A1EF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5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7A1EF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Détermination d’une quantité de matière par titrage</w:t>
      </w:r>
    </w:p>
    <w:p w:rsidR="007F234F" w:rsidRPr="00BB3854" w:rsidRDefault="00952792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6179388</wp:posOffset>
            </wp:positionH>
            <wp:positionV relativeFrom="paragraph">
              <wp:posOffset>16151</wp:posOffset>
            </wp:positionV>
            <wp:extent cx="518543" cy="518543"/>
            <wp:effectExtent l="0" t="0" r="2540" b="2540"/>
            <wp:wrapNone/>
            <wp:docPr id="1" name="Image 1" descr="Une image contenant morceau, main, suspendu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main, suspendu, ten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03" cy="52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BB3854">
        <w:rPr>
          <w:b w:val="0"/>
          <w:i w:val="0"/>
          <w:sz w:val="22"/>
          <w:szCs w:val="22"/>
        </w:rPr>
        <w:t xml:space="preserve">- </w:t>
      </w:r>
      <w:r w:rsidR="00972A33">
        <w:rPr>
          <w:b w:val="0"/>
          <w:i w:val="0"/>
          <w:sz w:val="22"/>
          <w:szCs w:val="22"/>
        </w:rPr>
        <w:t>Connaître l</w:t>
      </w:r>
      <w:r w:rsidR="007A1EFC">
        <w:rPr>
          <w:b w:val="0"/>
          <w:i w:val="0"/>
          <w:sz w:val="22"/>
          <w:szCs w:val="22"/>
        </w:rPr>
        <w:t>a différence entre titrage et dosage</w:t>
      </w:r>
    </w:p>
    <w:p w:rsidR="007F234F" w:rsidRPr="003826F8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7A1EFC">
        <w:rPr>
          <w:b w:val="0"/>
          <w:i w:val="0"/>
          <w:sz w:val="22"/>
          <w:szCs w:val="22"/>
        </w:rPr>
        <w:t>Connaître la notion d’équivalence</w:t>
      </w:r>
    </w:p>
    <w:p w:rsidR="007F234F" w:rsidRPr="00BB3854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7A1EFC">
        <w:rPr>
          <w:b w:val="0"/>
          <w:i w:val="0"/>
          <w:iCs/>
          <w:sz w:val="22"/>
          <w:szCs w:val="22"/>
        </w:rPr>
        <w:t>Savoir réaliser un titrage colorimétrique</w:t>
      </w:r>
    </w:p>
    <w:p w:rsidR="00CC626C" w:rsidRDefault="00CC626C">
      <w:pPr>
        <w:rPr>
          <w:lang w:val="fr-CH"/>
        </w:rPr>
      </w:pPr>
    </w:p>
    <w:p w:rsidR="006270B0" w:rsidRPr="006270B0" w:rsidRDefault="00EE69E3" w:rsidP="006270B0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Titrage</w:t>
      </w:r>
    </w:p>
    <w:p w:rsidR="006270B0" w:rsidRPr="00096C4C" w:rsidRDefault="00D42EEA" w:rsidP="006270B0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Dosages</w:t>
      </w:r>
    </w:p>
    <w:p w:rsidR="003A4856" w:rsidRPr="00726B7E" w:rsidRDefault="00D42EEA" w:rsidP="008A5E92">
      <w:pPr>
        <w:pStyle w:val="Texte"/>
        <w:rPr>
          <w:szCs w:val="24"/>
        </w:rPr>
      </w:pPr>
      <w:r w:rsidRPr="00726B7E">
        <w:rPr>
          <w:szCs w:val="24"/>
        </w:rPr>
        <w:t xml:space="preserve">Le terme </w:t>
      </w:r>
      <w:r w:rsidRPr="00726B7E">
        <w:rPr>
          <w:b/>
          <w:bCs/>
          <w:color w:val="C00000"/>
          <w:szCs w:val="24"/>
        </w:rPr>
        <w:t>dosage</w:t>
      </w:r>
      <w:r w:rsidRPr="00726B7E">
        <w:rPr>
          <w:color w:val="C00000"/>
          <w:szCs w:val="24"/>
        </w:rPr>
        <w:t xml:space="preserve"> </w:t>
      </w:r>
      <w:r w:rsidRPr="00726B7E">
        <w:rPr>
          <w:szCs w:val="24"/>
        </w:rPr>
        <w:t>désigne l’ensemble des méthodes permettant de déterminer la quantité de matière ou la concentration d’une espèce chimique dissoute dans une solution.</w:t>
      </w:r>
    </w:p>
    <w:p w:rsidR="007F67F5" w:rsidRPr="00726B7E" w:rsidRDefault="00D42EEA" w:rsidP="007F67F5">
      <w:pPr>
        <w:pStyle w:val="Texte"/>
        <w:rPr>
          <w:szCs w:val="24"/>
        </w:rPr>
      </w:pPr>
      <w:r w:rsidRPr="00726B7E">
        <w:rPr>
          <w:szCs w:val="24"/>
        </w:rPr>
        <w:t xml:space="preserve">Le </w:t>
      </w:r>
      <w:r w:rsidRPr="00726B7E">
        <w:rPr>
          <w:b/>
          <w:bCs/>
          <w:color w:val="C00000"/>
          <w:szCs w:val="24"/>
        </w:rPr>
        <w:t>titrage</w:t>
      </w:r>
      <w:r w:rsidRPr="00726B7E">
        <w:rPr>
          <w:color w:val="C00000"/>
          <w:szCs w:val="24"/>
        </w:rPr>
        <w:t xml:space="preserve"> </w:t>
      </w:r>
      <w:r w:rsidRPr="00726B7E">
        <w:rPr>
          <w:szCs w:val="24"/>
        </w:rPr>
        <w:t xml:space="preserve">est une technique de dosage mettant en jeu une ou plusieurs réactions chimiques. Si le titrage est </w:t>
      </w:r>
      <w:r w:rsidRPr="00726B7E">
        <w:rPr>
          <w:b/>
          <w:bCs/>
          <w:color w:val="C00000"/>
          <w:szCs w:val="24"/>
        </w:rPr>
        <w:t>direct</w:t>
      </w:r>
      <w:r w:rsidRPr="00726B7E">
        <w:rPr>
          <w:szCs w:val="24"/>
        </w:rPr>
        <w:t xml:space="preserve">, il n’utilise qu’une seule réaction de dosage, on l’appelle </w:t>
      </w:r>
      <w:r w:rsidRPr="00726B7E">
        <w:rPr>
          <w:b/>
          <w:bCs/>
          <w:szCs w:val="24"/>
        </w:rPr>
        <w:t>réaction support de titrage</w:t>
      </w:r>
      <w:r w:rsidRPr="00726B7E">
        <w:rPr>
          <w:szCs w:val="24"/>
        </w:rPr>
        <w:t>.</w:t>
      </w:r>
      <w:r w:rsidR="007F67F5" w:rsidRPr="00726B7E">
        <w:rPr>
          <w:szCs w:val="24"/>
        </w:rPr>
        <w:t xml:space="preserve"> </w:t>
      </w:r>
    </w:p>
    <w:p w:rsidR="007F67F5" w:rsidRPr="00726B7E" w:rsidRDefault="007F67F5" w:rsidP="007F67F5">
      <w:pPr>
        <w:pStyle w:val="Texte"/>
        <w:rPr>
          <w:rFonts w:asciiTheme="minorHAnsi" w:hAnsiTheme="minorHAnsi"/>
          <w:szCs w:val="24"/>
        </w:rPr>
      </w:pPr>
      <w:r w:rsidRPr="00726B7E">
        <w:rPr>
          <w:rFonts w:asciiTheme="minorHAnsi" w:hAnsiTheme="minorHAnsi"/>
          <w:szCs w:val="24"/>
        </w:rPr>
        <w:t>Cette réaction doit être :</w:t>
      </w:r>
      <w:r w:rsidRPr="00726B7E">
        <w:rPr>
          <w:rFonts w:ascii="Helvetica" w:hAnsi="Helvetica" w:cs="Helvetica"/>
          <w:szCs w:val="24"/>
        </w:rPr>
        <w:t xml:space="preserve"> </w:t>
      </w:r>
      <w:r w:rsidRPr="00726B7E">
        <w:rPr>
          <w:rFonts w:asciiTheme="minorHAnsi" w:hAnsiTheme="minorHAnsi"/>
          <w:b/>
          <w:color w:val="C00000"/>
          <w:szCs w:val="24"/>
        </w:rPr>
        <w:t>rapide</w:t>
      </w:r>
      <w:r w:rsidRPr="00726B7E">
        <w:rPr>
          <w:rFonts w:asciiTheme="minorHAnsi" w:hAnsiTheme="minorHAnsi"/>
          <w:szCs w:val="24"/>
        </w:rPr>
        <w:t xml:space="preserve">, </w:t>
      </w:r>
      <w:r w:rsidRPr="00726B7E">
        <w:rPr>
          <w:rFonts w:asciiTheme="minorHAnsi" w:hAnsiTheme="minorHAnsi"/>
          <w:b/>
          <w:color w:val="C00000"/>
          <w:szCs w:val="24"/>
        </w:rPr>
        <w:t>univoque</w:t>
      </w:r>
      <w:r w:rsidRPr="00726B7E">
        <w:rPr>
          <w:rFonts w:asciiTheme="minorHAnsi" w:hAnsiTheme="minorHAnsi"/>
          <w:color w:val="C00000"/>
          <w:szCs w:val="24"/>
        </w:rPr>
        <w:t xml:space="preserve"> </w:t>
      </w:r>
      <w:r w:rsidRPr="00726B7E">
        <w:rPr>
          <w:rFonts w:asciiTheme="minorHAnsi" w:hAnsiTheme="minorHAnsi"/>
          <w:szCs w:val="24"/>
        </w:rPr>
        <w:t xml:space="preserve">(elle ne doit pas être perturbée par d’autres réactions qui consommeraient ou produiraient les réactifs ou les produits impliqués dans la réaction de titrage) et </w:t>
      </w:r>
      <w:r w:rsidRPr="00726B7E">
        <w:rPr>
          <w:rFonts w:asciiTheme="minorHAnsi" w:hAnsiTheme="minorHAnsi"/>
          <w:b/>
          <w:color w:val="C00000"/>
          <w:szCs w:val="24"/>
        </w:rPr>
        <w:t>totale</w:t>
      </w:r>
      <w:r w:rsidRPr="00726B7E">
        <w:rPr>
          <w:rFonts w:asciiTheme="minorHAnsi" w:hAnsiTheme="minorHAnsi"/>
          <w:szCs w:val="24"/>
        </w:rPr>
        <w:t>.</w:t>
      </w:r>
    </w:p>
    <w:p w:rsidR="007F67F5" w:rsidRPr="00726B7E" w:rsidRDefault="007F67F5" w:rsidP="008A5E92">
      <w:pPr>
        <w:pStyle w:val="Texte"/>
        <w:rPr>
          <w:szCs w:val="24"/>
        </w:rPr>
      </w:pPr>
      <w:r w:rsidRPr="00726B7E">
        <w:rPr>
          <w:szCs w:val="24"/>
        </w:rPr>
        <w:t xml:space="preserve">Lors d’un titrage, on appelle </w:t>
      </w:r>
      <w:r w:rsidRPr="00726B7E">
        <w:rPr>
          <w:b/>
          <w:bCs/>
          <w:color w:val="FF0000"/>
          <w:szCs w:val="24"/>
        </w:rPr>
        <w:t>réactif titré</w:t>
      </w:r>
      <w:r w:rsidRPr="00726B7E">
        <w:rPr>
          <w:color w:val="FF0000"/>
          <w:szCs w:val="24"/>
        </w:rPr>
        <w:t xml:space="preserve"> </w:t>
      </w:r>
      <w:r w:rsidRPr="00726B7E">
        <w:rPr>
          <w:szCs w:val="24"/>
        </w:rPr>
        <w:t xml:space="preserve">l’espèce dont on cherche à déterminer la concentration et </w:t>
      </w:r>
      <w:r w:rsidRPr="00726B7E">
        <w:rPr>
          <w:b/>
          <w:bCs/>
          <w:color w:val="00B0F0"/>
          <w:szCs w:val="24"/>
        </w:rPr>
        <w:t>réactif titrant</w:t>
      </w:r>
      <w:r w:rsidRPr="00726B7E">
        <w:rPr>
          <w:color w:val="00B0F0"/>
          <w:szCs w:val="24"/>
        </w:rPr>
        <w:t xml:space="preserve"> </w:t>
      </w:r>
      <w:r w:rsidRPr="00726B7E">
        <w:rPr>
          <w:szCs w:val="24"/>
        </w:rPr>
        <w:t xml:space="preserve">l’espèce de concentration connue. </w:t>
      </w:r>
    </w:p>
    <w:p w:rsidR="007E36FC" w:rsidRPr="003A4856" w:rsidRDefault="007E36FC" w:rsidP="004674E0">
      <w:pPr>
        <w:pStyle w:val="Sansinterligne"/>
        <w:jc w:val="both"/>
        <w:rPr>
          <w:sz w:val="22"/>
          <w:szCs w:val="22"/>
          <w:lang w:val="fr-CH"/>
        </w:rPr>
      </w:pPr>
    </w:p>
    <w:p w:rsidR="008A5E92" w:rsidRPr="00096C4C" w:rsidRDefault="007F67F5" w:rsidP="008A5E92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Dispositif de titrage</w:t>
      </w:r>
    </w:p>
    <w:p w:rsidR="00023982" w:rsidRPr="00726B7E" w:rsidRDefault="00242EFE" w:rsidP="008A5E92">
      <w:pPr>
        <w:pStyle w:val="Texte"/>
      </w:pPr>
      <w:r w:rsidRPr="00726B7E">
        <w:rPr>
          <w:szCs w:val="24"/>
        </w:rPr>
        <w:t xml:space="preserve">Lors d’un titrage, on place le </w:t>
      </w:r>
      <w:r w:rsidRPr="00726B7E">
        <w:rPr>
          <w:b/>
          <w:bCs/>
          <w:color w:val="00B0F0"/>
        </w:rPr>
        <w:t>réactif titrant</w:t>
      </w:r>
      <w:r w:rsidRPr="00726B7E">
        <w:rPr>
          <w:color w:val="00B0F0"/>
        </w:rPr>
        <w:t xml:space="preserve"> </w:t>
      </w:r>
      <w:r w:rsidRPr="00726B7E">
        <w:t xml:space="preserve">dans une burette graduée et le </w:t>
      </w:r>
      <w:r w:rsidRPr="00726B7E">
        <w:rPr>
          <w:b/>
          <w:bCs/>
          <w:color w:val="FF0000"/>
        </w:rPr>
        <w:t>réactif titré</w:t>
      </w:r>
      <w:r w:rsidRPr="00726B7E">
        <w:rPr>
          <w:color w:val="FF0000"/>
        </w:rPr>
        <w:t xml:space="preserve"> </w:t>
      </w:r>
      <w:r w:rsidRPr="00726B7E">
        <w:t>dans un bécher ou un erlenmeyer.</w:t>
      </w:r>
    </w:p>
    <w:p w:rsidR="00242EFE" w:rsidRDefault="00242EFE" w:rsidP="00242EFE">
      <w:pPr>
        <w:pStyle w:val="Texte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296864" cy="2792186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d’écran 2019-11-01 à 13.34.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715" cy="27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15" w:rsidRPr="00023982" w:rsidRDefault="00B86F15" w:rsidP="008A5E92">
      <w:pPr>
        <w:pStyle w:val="Texte"/>
        <w:rPr>
          <w:sz w:val="22"/>
          <w:lang w:val="fr-CH"/>
        </w:rPr>
      </w:pPr>
    </w:p>
    <w:p w:rsidR="00023982" w:rsidRPr="006270B0" w:rsidRDefault="00EE69E3" w:rsidP="00023982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Exploitation du titrage</w:t>
      </w:r>
    </w:p>
    <w:p w:rsidR="00B86F15" w:rsidRPr="00B86F15" w:rsidRDefault="00B86F15" w:rsidP="00B86F15">
      <w:pPr>
        <w:pStyle w:val="Sansinterligne"/>
        <w:numPr>
          <w:ilvl w:val="0"/>
          <w:numId w:val="13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L’équivalence</w:t>
      </w:r>
    </w:p>
    <w:p w:rsidR="00B86F15" w:rsidRPr="00726B7E" w:rsidRDefault="00B86F15" w:rsidP="00B86F15">
      <w:pPr>
        <w:pStyle w:val="Texte"/>
      </w:pPr>
      <w:r w:rsidRPr="00726B7E">
        <w:t xml:space="preserve">Au cours d’un titrage, le </w:t>
      </w:r>
      <w:r w:rsidRPr="00726B7E">
        <w:rPr>
          <w:color w:val="00B0F0"/>
        </w:rPr>
        <w:t xml:space="preserve">réactif titrant </w:t>
      </w:r>
      <w:r w:rsidRPr="00726B7E">
        <w:t xml:space="preserve">est versé progressivement jusqu’à ce que le </w:t>
      </w:r>
      <w:r w:rsidRPr="00726B7E">
        <w:rPr>
          <w:color w:val="FF0000"/>
        </w:rPr>
        <w:t xml:space="preserve">réactif titré </w:t>
      </w:r>
      <w:r w:rsidRPr="00726B7E">
        <w:t>ait totalement réagi. On a alors atteint l’</w:t>
      </w:r>
      <w:r w:rsidRPr="00726B7E">
        <w:rPr>
          <w:b/>
          <w:bCs/>
          <w:color w:val="C00000"/>
        </w:rPr>
        <w:t>équivalence</w:t>
      </w:r>
      <w:r w:rsidRPr="00726B7E">
        <w:t>.</w:t>
      </w:r>
    </w:p>
    <w:p w:rsidR="00B86F15" w:rsidRPr="00726B7E" w:rsidRDefault="00B86F15" w:rsidP="00B86F15">
      <w:pPr>
        <w:pStyle w:val="Texte"/>
      </w:pPr>
      <w:r w:rsidRPr="00726B7E">
        <w:t xml:space="preserve">À l’équivalence, les réactifs sont donc entièrement consommés, ils sont introduits dans les </w:t>
      </w:r>
      <w:r w:rsidRPr="00726B7E">
        <w:rPr>
          <w:b/>
          <w:color w:val="C00000"/>
        </w:rPr>
        <w:t>proportions stœchiométriques</w:t>
      </w:r>
      <w:r w:rsidRPr="00726B7E">
        <w:t>.</w:t>
      </w:r>
    </w:p>
    <w:p w:rsidR="00B86F15" w:rsidRPr="00726B7E" w:rsidRDefault="00B86F15" w:rsidP="00B86F15">
      <w:pPr>
        <w:pStyle w:val="Texte"/>
      </w:pPr>
      <w:r w:rsidRPr="00726B7E">
        <w:t xml:space="preserve">Avant l’équivalence, le </w:t>
      </w:r>
      <w:r w:rsidRPr="00726B7E">
        <w:rPr>
          <w:color w:val="00B0F0"/>
        </w:rPr>
        <w:t xml:space="preserve">réactif titrant </w:t>
      </w:r>
      <w:r w:rsidRPr="00726B7E">
        <w:t xml:space="preserve">est totalement consommé ; il est le réactif limitant. Après l’équivalence, le </w:t>
      </w:r>
      <w:r w:rsidRPr="00726B7E">
        <w:rPr>
          <w:color w:val="FF0000"/>
        </w:rPr>
        <w:t>réactif titré</w:t>
      </w:r>
      <w:r w:rsidRPr="00726B7E">
        <w:t xml:space="preserve"> est totalement consommé ; il devient le réactif limitant. À l’équivalence, il y a donc </w:t>
      </w:r>
      <w:r w:rsidRPr="00726B7E">
        <w:rPr>
          <w:b/>
          <w:bCs/>
        </w:rPr>
        <w:t>changement de réactif limitant</w:t>
      </w:r>
      <w:r w:rsidRPr="00726B7E">
        <w:t>.</w:t>
      </w:r>
    </w:p>
    <w:p w:rsidR="00B568DA" w:rsidRPr="00726B7E" w:rsidRDefault="00B568DA" w:rsidP="00B86F15">
      <w:pPr>
        <w:pStyle w:val="Texte"/>
      </w:pPr>
      <w:r w:rsidRPr="00726B7E">
        <w:t xml:space="preserve">Le volume de </w:t>
      </w:r>
      <w:r w:rsidRPr="00726B7E">
        <w:rPr>
          <w:color w:val="00B0F0"/>
        </w:rPr>
        <w:t xml:space="preserve">solution titrante </w:t>
      </w:r>
      <w:r w:rsidRPr="00726B7E">
        <w:t xml:space="preserve">versé à l’équivalence est appelé </w:t>
      </w:r>
      <w:r w:rsidRPr="00726B7E">
        <w:rPr>
          <w:b/>
          <w:bCs/>
          <w:color w:val="C00000"/>
        </w:rPr>
        <w:t>volume équivalent</w:t>
      </w:r>
      <w:r w:rsidRPr="00726B7E">
        <w:t>.</w:t>
      </w:r>
    </w:p>
    <w:p w:rsidR="00B86F15" w:rsidRDefault="00B86F15" w:rsidP="00B86F15">
      <w:pPr>
        <w:pStyle w:val="Texte"/>
      </w:pPr>
    </w:p>
    <w:p w:rsidR="00B86F15" w:rsidRPr="00B568DA" w:rsidRDefault="00B568DA" w:rsidP="00B568DA">
      <w:pPr>
        <w:pStyle w:val="Sansinterligne"/>
        <w:numPr>
          <w:ilvl w:val="0"/>
          <w:numId w:val="13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lastRenderedPageBreak/>
        <w:t>Repérer</w:t>
      </w:r>
      <w:r w:rsidR="00B86F15" w:rsidRPr="00B568DA">
        <w:rPr>
          <w:rFonts w:ascii="Talking to the Moon" w:hAnsi="Talking to the Moon"/>
          <w:color w:val="C00000"/>
          <w:u w:val="single"/>
          <w:lang w:val="fr-CH"/>
        </w:rPr>
        <w:t xml:space="preserve"> l’équivalence</w:t>
      </w:r>
    </w:p>
    <w:p w:rsidR="00B568DA" w:rsidRDefault="00B86F15" w:rsidP="00B86F15">
      <w:pPr>
        <w:pStyle w:val="Texte"/>
      </w:pPr>
      <w:r>
        <w:t xml:space="preserve">Il est possible </w:t>
      </w:r>
      <w:r w:rsidR="00B568DA">
        <w:t xml:space="preserve">de déterminer </w:t>
      </w:r>
      <w:r>
        <w:t xml:space="preserve">l’équivalence d’un titrage </w:t>
      </w:r>
      <w:r w:rsidR="00B568DA">
        <w:t>grâce à plusieurs méthodes :</w:t>
      </w:r>
    </w:p>
    <w:p w:rsidR="003F5471" w:rsidRPr="003F5471" w:rsidRDefault="00B568DA" w:rsidP="00FC6315">
      <w:pPr>
        <w:pStyle w:val="Texte"/>
        <w:numPr>
          <w:ilvl w:val="0"/>
          <w:numId w:val="14"/>
        </w:numPr>
        <w:rPr>
          <w:rFonts w:asciiTheme="minorHAnsi" w:hAnsiTheme="minorHAnsi"/>
        </w:rPr>
      </w:pPr>
      <w:r>
        <w:t>Le titrage colorimétrique permet de repérer l’équivalence à l’aide d’un changement de couleur du milieu réactionnel ;</w:t>
      </w:r>
    </w:p>
    <w:p w:rsidR="003F5471" w:rsidRPr="003F68D5" w:rsidRDefault="003F5471" w:rsidP="003F5471">
      <w:pPr>
        <w:pStyle w:val="Texte"/>
        <w:rPr>
          <w:i/>
          <w:iCs/>
          <w:color w:val="7F7F7F" w:themeColor="text1" w:themeTint="80"/>
          <w:sz w:val="22"/>
          <w:szCs w:val="21"/>
        </w:rPr>
      </w:pPr>
      <w:r w:rsidRPr="003F68D5">
        <w:rPr>
          <w:i/>
          <w:iCs/>
          <w:color w:val="7F7F7F" w:themeColor="text1" w:themeTint="80"/>
          <w:sz w:val="22"/>
          <w:szCs w:val="21"/>
        </w:rPr>
        <w:t xml:space="preserve">Exemple : Dosage du diiode </w:t>
      </w:r>
      <w:r w:rsidRPr="003F68D5">
        <w:rPr>
          <w:i/>
          <w:iCs/>
          <w:color w:val="FF0000"/>
          <w:sz w:val="22"/>
          <w:szCs w:val="21"/>
        </w:rPr>
        <w:t>I</w:t>
      </w:r>
      <w:r w:rsidRPr="003F68D5">
        <w:rPr>
          <w:i/>
          <w:iCs/>
          <w:color w:val="FF0000"/>
          <w:sz w:val="22"/>
          <w:szCs w:val="21"/>
          <w:vertAlign w:val="subscript"/>
        </w:rPr>
        <w:t>2 (aq)</w:t>
      </w:r>
      <w:r w:rsidRPr="003F68D5">
        <w:rPr>
          <w:i/>
          <w:iCs/>
          <w:color w:val="FF0000"/>
          <w:sz w:val="22"/>
          <w:szCs w:val="21"/>
        </w:rPr>
        <w:t xml:space="preserve"> </w:t>
      </w:r>
      <w:r w:rsidRPr="003F68D5">
        <w:rPr>
          <w:i/>
          <w:iCs/>
          <w:color w:val="7F7F7F" w:themeColor="text1" w:themeTint="80"/>
          <w:sz w:val="22"/>
          <w:szCs w:val="21"/>
        </w:rPr>
        <w:t xml:space="preserve">par les ions thiosulfate </w:t>
      </w:r>
      <w:r w:rsidRPr="003F68D5">
        <w:rPr>
          <w:i/>
          <w:iCs/>
          <w:color w:val="00B0F0"/>
          <w:sz w:val="22"/>
          <w:szCs w:val="21"/>
        </w:rPr>
        <w:t>S</w:t>
      </w:r>
      <w:r w:rsidRPr="003F68D5">
        <w:rPr>
          <w:i/>
          <w:iCs/>
          <w:color w:val="00B0F0"/>
          <w:sz w:val="22"/>
          <w:szCs w:val="21"/>
          <w:vertAlign w:val="subscript"/>
        </w:rPr>
        <w:t>2</w:t>
      </w:r>
      <w:r w:rsidRPr="003F68D5">
        <w:rPr>
          <w:i/>
          <w:iCs/>
          <w:color w:val="00B0F0"/>
          <w:sz w:val="22"/>
          <w:szCs w:val="21"/>
        </w:rPr>
        <w:t>O</w:t>
      </w:r>
      <w:r w:rsidRPr="003F68D5">
        <w:rPr>
          <w:i/>
          <w:iCs/>
          <w:color w:val="00B0F0"/>
          <w:sz w:val="22"/>
          <w:szCs w:val="21"/>
          <w:vertAlign w:val="subscript"/>
        </w:rPr>
        <w:t>3</w:t>
      </w:r>
      <w:r w:rsidRPr="003F68D5">
        <w:rPr>
          <w:i/>
          <w:iCs/>
          <w:color w:val="00B0F0"/>
          <w:sz w:val="22"/>
          <w:szCs w:val="21"/>
          <w:vertAlign w:val="superscript"/>
        </w:rPr>
        <w:t>2-</w:t>
      </w:r>
      <w:r w:rsidRPr="003F68D5">
        <w:rPr>
          <w:i/>
          <w:iCs/>
          <w:color w:val="00B0F0"/>
          <w:sz w:val="22"/>
          <w:szCs w:val="21"/>
          <w:vertAlign w:val="subscript"/>
        </w:rPr>
        <w:t>(aq)</w:t>
      </w:r>
      <w:r w:rsidRPr="003F68D5">
        <w:rPr>
          <w:i/>
          <w:iCs/>
          <w:color w:val="7F7F7F" w:themeColor="text1" w:themeTint="80"/>
          <w:sz w:val="22"/>
          <w:szCs w:val="21"/>
        </w:rPr>
        <w:t xml:space="preserve"> selon la réaction d’équation :</w:t>
      </w:r>
    </w:p>
    <w:p w:rsidR="003F5471" w:rsidRPr="003F68D5" w:rsidRDefault="003F5471" w:rsidP="003F5471">
      <w:pPr>
        <w:pStyle w:val="Texte"/>
        <w:jc w:val="center"/>
        <w:rPr>
          <w:i/>
          <w:iCs/>
          <w:color w:val="7F7F7F" w:themeColor="text1" w:themeTint="80"/>
          <w:sz w:val="22"/>
          <w:szCs w:val="21"/>
          <w:vertAlign w:val="subscript"/>
          <w:lang w:val="en-US"/>
        </w:rPr>
      </w:pPr>
      <w:r w:rsidRPr="003F68D5">
        <w:rPr>
          <w:i/>
          <w:iCs/>
          <w:color w:val="FF0000"/>
          <w:sz w:val="22"/>
          <w:szCs w:val="21"/>
          <w:lang w:val="en-US"/>
        </w:rPr>
        <w:t>I</w:t>
      </w:r>
      <w:r w:rsidRPr="003F68D5">
        <w:rPr>
          <w:i/>
          <w:iCs/>
          <w:color w:val="FF0000"/>
          <w:sz w:val="22"/>
          <w:szCs w:val="21"/>
          <w:vertAlign w:val="subscript"/>
          <w:lang w:val="en-US"/>
        </w:rPr>
        <w:t>2 (aq)</w:t>
      </w:r>
      <w:r w:rsidRPr="003F68D5">
        <w:rPr>
          <w:i/>
          <w:iCs/>
          <w:color w:val="FF0000"/>
          <w:sz w:val="22"/>
          <w:szCs w:val="21"/>
          <w:lang w:val="en-US"/>
        </w:rPr>
        <w:t xml:space="preserve"> </w:t>
      </w:r>
      <w:r w:rsidRPr="003F68D5">
        <w:rPr>
          <w:i/>
          <w:iCs/>
          <w:color w:val="7F7F7F" w:themeColor="text1" w:themeTint="80"/>
          <w:sz w:val="22"/>
          <w:szCs w:val="21"/>
          <w:lang w:val="en-US"/>
        </w:rPr>
        <w:t xml:space="preserve">+ </w:t>
      </w:r>
      <w:r w:rsidRPr="003F68D5">
        <w:rPr>
          <w:i/>
          <w:iCs/>
          <w:color w:val="00B0F0"/>
          <w:sz w:val="22"/>
          <w:szCs w:val="21"/>
          <w:lang w:val="en-US"/>
        </w:rPr>
        <w:t>2</w:t>
      </w:r>
      <w:r w:rsidRPr="003F68D5">
        <w:rPr>
          <w:i/>
          <w:iCs/>
          <w:color w:val="7F7F7F" w:themeColor="text1" w:themeTint="80"/>
          <w:sz w:val="22"/>
          <w:szCs w:val="21"/>
          <w:lang w:val="en-US"/>
        </w:rPr>
        <w:t xml:space="preserve"> </w:t>
      </w:r>
      <w:r w:rsidRPr="003F68D5">
        <w:rPr>
          <w:i/>
          <w:iCs/>
          <w:color w:val="00B0F0"/>
          <w:sz w:val="22"/>
          <w:szCs w:val="21"/>
          <w:lang w:val="en-US"/>
        </w:rPr>
        <w:t>S</w:t>
      </w:r>
      <w:r w:rsidRPr="003F68D5">
        <w:rPr>
          <w:i/>
          <w:iCs/>
          <w:color w:val="00B0F0"/>
          <w:sz w:val="22"/>
          <w:szCs w:val="21"/>
          <w:vertAlign w:val="subscript"/>
          <w:lang w:val="en-US"/>
        </w:rPr>
        <w:t>2</w:t>
      </w:r>
      <w:r w:rsidRPr="003F68D5">
        <w:rPr>
          <w:i/>
          <w:iCs/>
          <w:color w:val="00B0F0"/>
          <w:sz w:val="22"/>
          <w:szCs w:val="21"/>
          <w:lang w:val="en-US"/>
        </w:rPr>
        <w:t>O</w:t>
      </w:r>
      <w:r w:rsidRPr="003F68D5">
        <w:rPr>
          <w:i/>
          <w:iCs/>
          <w:color w:val="00B0F0"/>
          <w:sz w:val="22"/>
          <w:szCs w:val="21"/>
          <w:vertAlign w:val="subscript"/>
          <w:lang w:val="en-US"/>
        </w:rPr>
        <w:t>3</w:t>
      </w:r>
      <w:r w:rsidRPr="003F68D5">
        <w:rPr>
          <w:i/>
          <w:iCs/>
          <w:color w:val="00B0F0"/>
          <w:sz w:val="22"/>
          <w:szCs w:val="21"/>
          <w:vertAlign w:val="superscript"/>
          <w:lang w:val="en-US"/>
        </w:rPr>
        <w:t>2-</w:t>
      </w:r>
      <w:r w:rsidRPr="003F68D5">
        <w:rPr>
          <w:i/>
          <w:iCs/>
          <w:color w:val="00B0F0"/>
          <w:sz w:val="22"/>
          <w:szCs w:val="21"/>
          <w:vertAlign w:val="subscript"/>
          <w:lang w:val="en-US"/>
        </w:rPr>
        <w:t>(aq)</w:t>
      </w:r>
      <w:r w:rsidRPr="003F68D5">
        <w:rPr>
          <w:i/>
          <w:iCs/>
          <w:color w:val="7F7F7F" w:themeColor="text1" w:themeTint="80"/>
          <w:sz w:val="22"/>
          <w:szCs w:val="21"/>
          <w:lang w:val="en-US"/>
        </w:rPr>
        <w:t xml:space="preserve"> </w:t>
      </w:r>
      <w:r w:rsidRPr="003F68D5">
        <w:rPr>
          <w:i/>
          <w:iCs/>
          <w:color w:val="7F7F7F" w:themeColor="text1" w:themeTint="80"/>
          <w:sz w:val="22"/>
          <w:szCs w:val="21"/>
          <w:lang w:val="en-US"/>
        </w:rPr>
        <w:sym w:font="Symbol" w:char="F0AE"/>
      </w:r>
      <w:r w:rsidRPr="003F68D5">
        <w:rPr>
          <w:i/>
          <w:iCs/>
          <w:color w:val="7F7F7F" w:themeColor="text1" w:themeTint="80"/>
          <w:sz w:val="22"/>
          <w:szCs w:val="21"/>
          <w:lang w:val="en-US"/>
        </w:rPr>
        <w:t xml:space="preserve"> </w:t>
      </w:r>
      <w:r w:rsidRPr="003F68D5">
        <w:rPr>
          <w:i/>
          <w:iCs/>
          <w:color w:val="92D050"/>
          <w:sz w:val="22"/>
          <w:szCs w:val="21"/>
          <w:lang w:val="en-US"/>
        </w:rPr>
        <w:t>2 I</w:t>
      </w:r>
      <w:r w:rsidRPr="003F68D5">
        <w:rPr>
          <w:i/>
          <w:iCs/>
          <w:color w:val="92D050"/>
          <w:sz w:val="22"/>
          <w:szCs w:val="21"/>
          <w:vertAlign w:val="superscript"/>
          <w:lang w:val="en-US"/>
        </w:rPr>
        <w:t>-</w:t>
      </w:r>
      <w:r w:rsidRPr="003F68D5">
        <w:rPr>
          <w:i/>
          <w:iCs/>
          <w:color w:val="92D050"/>
          <w:sz w:val="22"/>
          <w:szCs w:val="21"/>
          <w:vertAlign w:val="subscript"/>
          <w:lang w:val="en-US"/>
        </w:rPr>
        <w:t>(aq)</w:t>
      </w:r>
      <w:r w:rsidRPr="003F68D5">
        <w:rPr>
          <w:i/>
          <w:iCs/>
          <w:color w:val="92D050"/>
          <w:sz w:val="22"/>
          <w:szCs w:val="21"/>
          <w:lang w:val="en-US"/>
        </w:rPr>
        <w:t xml:space="preserve"> </w:t>
      </w:r>
      <w:r w:rsidRPr="003F68D5">
        <w:rPr>
          <w:i/>
          <w:iCs/>
          <w:color w:val="7F7F7F" w:themeColor="text1" w:themeTint="80"/>
          <w:sz w:val="22"/>
          <w:szCs w:val="21"/>
          <w:lang w:val="en-US"/>
        </w:rPr>
        <w:t xml:space="preserve">+ </w:t>
      </w:r>
      <w:r w:rsidRPr="003F68D5">
        <w:rPr>
          <w:i/>
          <w:iCs/>
          <w:color w:val="7030A0"/>
          <w:sz w:val="22"/>
          <w:szCs w:val="21"/>
          <w:lang w:val="en-US"/>
        </w:rPr>
        <w:t>S</w:t>
      </w:r>
      <w:r w:rsidRPr="003F68D5">
        <w:rPr>
          <w:i/>
          <w:iCs/>
          <w:color w:val="7030A0"/>
          <w:sz w:val="22"/>
          <w:szCs w:val="21"/>
          <w:vertAlign w:val="subscript"/>
          <w:lang w:val="en-US"/>
        </w:rPr>
        <w:t>4</w:t>
      </w:r>
      <w:r w:rsidRPr="003F68D5">
        <w:rPr>
          <w:i/>
          <w:iCs/>
          <w:color w:val="7030A0"/>
          <w:sz w:val="22"/>
          <w:szCs w:val="21"/>
          <w:lang w:val="en-US"/>
        </w:rPr>
        <w:t>O</w:t>
      </w:r>
      <w:r w:rsidRPr="003F68D5">
        <w:rPr>
          <w:i/>
          <w:iCs/>
          <w:color w:val="7030A0"/>
          <w:sz w:val="22"/>
          <w:szCs w:val="21"/>
          <w:vertAlign w:val="subscript"/>
          <w:lang w:val="en-US"/>
        </w:rPr>
        <w:t>6</w:t>
      </w:r>
      <w:r w:rsidRPr="003F68D5">
        <w:rPr>
          <w:i/>
          <w:iCs/>
          <w:color w:val="7030A0"/>
          <w:sz w:val="22"/>
          <w:szCs w:val="21"/>
          <w:vertAlign w:val="superscript"/>
          <w:lang w:val="en-US"/>
        </w:rPr>
        <w:t>2-</w:t>
      </w:r>
      <w:r w:rsidRPr="003F68D5">
        <w:rPr>
          <w:i/>
          <w:iCs/>
          <w:color w:val="7030A0"/>
          <w:sz w:val="22"/>
          <w:szCs w:val="21"/>
          <w:vertAlign w:val="subscript"/>
          <w:lang w:val="en-US"/>
        </w:rPr>
        <w:t>(aq)</w:t>
      </w:r>
    </w:p>
    <w:p w:rsidR="003F68D5" w:rsidRPr="00972A33" w:rsidRDefault="003F68D5" w:rsidP="003F68D5">
      <w:pPr>
        <w:pStyle w:val="Texte"/>
        <w:jc w:val="center"/>
        <w:rPr>
          <w:rFonts w:asciiTheme="minorHAnsi" w:hAnsiTheme="minorHAnsi"/>
          <w:i/>
          <w:iCs/>
          <w:color w:val="7F7F7F" w:themeColor="text1" w:themeTint="80"/>
          <w:sz w:val="22"/>
          <w:szCs w:val="21"/>
          <w:lang w:val="en-US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8047</wp:posOffset>
            </wp:positionH>
            <wp:positionV relativeFrom="paragraph">
              <wp:posOffset>47447</wp:posOffset>
            </wp:positionV>
            <wp:extent cx="3872131" cy="2105891"/>
            <wp:effectExtent l="0" t="0" r="1905" b="2540"/>
            <wp:wrapSquare wrapText="bothSides"/>
            <wp:docPr id="18" name="Image 18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texte, cart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7"/>
                    <a:stretch/>
                  </pic:blipFill>
                  <pic:spPr bwMode="auto">
                    <a:xfrm>
                      <a:off x="0" y="0"/>
                      <a:ext cx="3872131" cy="210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68DA" w:rsidRDefault="003F68D5" w:rsidP="003F68D5">
      <w:pPr>
        <w:pStyle w:val="Texte"/>
        <w:rPr>
          <w:i/>
          <w:iCs/>
          <w:color w:val="7F7F7F" w:themeColor="text1" w:themeTint="80"/>
          <w:sz w:val="22"/>
          <w:szCs w:val="21"/>
        </w:rPr>
      </w:pPr>
      <w:r w:rsidRPr="003F68D5">
        <w:rPr>
          <w:rFonts w:asciiTheme="minorHAnsi" w:hAnsiTheme="minorHAnsi"/>
          <w:i/>
          <w:iCs/>
          <w:color w:val="7F7F7F" w:themeColor="text1" w:themeTint="80"/>
          <w:sz w:val="22"/>
          <w:szCs w:val="21"/>
        </w:rPr>
        <w:t xml:space="preserve">L’équivalence est repérée par un changement de couleur : le diiode </w:t>
      </w:r>
      <w:r w:rsidRPr="00C57062">
        <w:rPr>
          <w:i/>
          <w:iCs/>
          <w:color w:val="FF0000"/>
          <w:sz w:val="22"/>
          <w:szCs w:val="21"/>
        </w:rPr>
        <w:t>I</w:t>
      </w:r>
      <w:r w:rsidRPr="00C57062">
        <w:rPr>
          <w:i/>
          <w:iCs/>
          <w:color w:val="FF0000"/>
          <w:sz w:val="22"/>
          <w:szCs w:val="21"/>
          <w:vertAlign w:val="subscript"/>
        </w:rPr>
        <w:t>2</w:t>
      </w:r>
      <w:r w:rsidR="00C57062">
        <w:rPr>
          <w:i/>
          <w:iCs/>
          <w:color w:val="FF0000"/>
          <w:sz w:val="22"/>
          <w:szCs w:val="21"/>
        </w:rPr>
        <w:t xml:space="preserve"> </w:t>
      </w:r>
      <w:r w:rsidR="00C57062" w:rsidRPr="00C57062">
        <w:rPr>
          <w:i/>
          <w:iCs/>
          <w:color w:val="7F7F7F" w:themeColor="text1" w:themeTint="80"/>
          <w:sz w:val="22"/>
          <w:szCs w:val="21"/>
        </w:rPr>
        <w:t>(de couleur jaune)</w:t>
      </w:r>
      <w:r w:rsidRPr="003F68D5">
        <w:rPr>
          <w:i/>
          <w:iCs/>
          <w:color w:val="7F7F7F" w:themeColor="text1" w:themeTint="80"/>
          <w:sz w:val="22"/>
          <w:szCs w:val="21"/>
        </w:rPr>
        <w:t xml:space="preserve">, seule espèce colorée du système chimique étudié, n’est plus présent à l’équivalence. La solution </w:t>
      </w:r>
      <w:r w:rsidR="00C57062">
        <w:rPr>
          <w:i/>
          <w:iCs/>
          <w:color w:val="7F7F7F" w:themeColor="text1" w:themeTint="80"/>
          <w:sz w:val="22"/>
          <w:szCs w:val="21"/>
        </w:rPr>
        <w:t>devient donc incolore.</w:t>
      </w:r>
    </w:p>
    <w:p w:rsidR="003F68D5" w:rsidRDefault="003F68D5" w:rsidP="003F68D5">
      <w:pPr>
        <w:pStyle w:val="Texte"/>
        <w:jc w:val="center"/>
        <w:rPr>
          <w:i/>
          <w:iCs/>
          <w:color w:val="7F7F7F" w:themeColor="text1" w:themeTint="80"/>
          <w:sz w:val="22"/>
          <w:szCs w:val="21"/>
        </w:rPr>
      </w:pPr>
    </w:p>
    <w:p w:rsidR="003F68D5" w:rsidRDefault="003F68D5" w:rsidP="003F68D5">
      <w:pPr>
        <w:pStyle w:val="Texte"/>
        <w:jc w:val="center"/>
        <w:rPr>
          <w:i/>
          <w:iCs/>
          <w:color w:val="7F7F7F" w:themeColor="text1" w:themeTint="80"/>
          <w:sz w:val="22"/>
          <w:szCs w:val="21"/>
        </w:rPr>
      </w:pPr>
    </w:p>
    <w:p w:rsidR="003F68D5" w:rsidRDefault="003F68D5" w:rsidP="003F68D5">
      <w:pPr>
        <w:pStyle w:val="Texte"/>
        <w:jc w:val="center"/>
        <w:rPr>
          <w:i/>
          <w:iCs/>
          <w:color w:val="7F7F7F" w:themeColor="text1" w:themeTint="80"/>
          <w:sz w:val="22"/>
          <w:szCs w:val="21"/>
        </w:rPr>
      </w:pPr>
    </w:p>
    <w:p w:rsidR="003F68D5" w:rsidRDefault="003F68D5" w:rsidP="003F68D5">
      <w:pPr>
        <w:pStyle w:val="Texte"/>
        <w:jc w:val="center"/>
        <w:rPr>
          <w:i/>
          <w:iCs/>
          <w:color w:val="7F7F7F" w:themeColor="text1" w:themeTint="80"/>
          <w:sz w:val="22"/>
          <w:szCs w:val="21"/>
        </w:rPr>
      </w:pPr>
      <w:r w:rsidRPr="003F68D5">
        <w:rPr>
          <w:rFonts w:asciiTheme="minorHAnsi" w:hAnsiTheme="minorHAnsi"/>
          <w:i/>
          <w:iCs/>
          <w:noProof/>
          <w:color w:val="7F7F7F" w:themeColor="text1" w:themeTint="80"/>
          <w:sz w:val="22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107606</wp:posOffset>
            </wp:positionV>
            <wp:extent cx="1696720" cy="1419860"/>
            <wp:effectExtent l="0" t="0" r="508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8D5" w:rsidRPr="00C57062" w:rsidRDefault="003F68D5" w:rsidP="003F68D5">
      <w:pPr>
        <w:pStyle w:val="Texte"/>
        <w:jc w:val="center"/>
        <w:rPr>
          <w:rFonts w:asciiTheme="minorHAnsi" w:hAnsiTheme="minorHAnsi"/>
        </w:rPr>
      </w:pPr>
    </w:p>
    <w:p w:rsidR="00B568DA" w:rsidRPr="00B568DA" w:rsidRDefault="00B568DA" w:rsidP="00FC6315">
      <w:pPr>
        <w:pStyle w:val="Texte"/>
        <w:numPr>
          <w:ilvl w:val="0"/>
          <w:numId w:val="14"/>
        </w:numPr>
        <w:rPr>
          <w:rFonts w:asciiTheme="minorHAnsi" w:hAnsiTheme="minorHAnsi"/>
        </w:rPr>
      </w:pPr>
      <w:r>
        <w:t xml:space="preserve">Le titrage pH-métrique permet de repérer le volume équivalent en observant un saut de pH du milieu réactionnel </w:t>
      </w:r>
      <w:r w:rsidR="00F44E87">
        <w:t xml:space="preserve">(voir ci-contre) </w:t>
      </w:r>
      <w:r>
        <w:t>;</w:t>
      </w:r>
      <w:r w:rsidR="00F44E87" w:rsidRPr="00F44E87">
        <w:rPr>
          <w:noProof/>
        </w:rPr>
        <w:t xml:space="preserve"> </w:t>
      </w:r>
    </w:p>
    <w:p w:rsidR="00B568DA" w:rsidRPr="00B568DA" w:rsidRDefault="00B568DA" w:rsidP="00FC6315">
      <w:pPr>
        <w:pStyle w:val="Texte"/>
        <w:numPr>
          <w:ilvl w:val="0"/>
          <w:numId w:val="14"/>
        </w:numPr>
        <w:rPr>
          <w:rFonts w:asciiTheme="minorHAnsi" w:hAnsiTheme="minorHAnsi"/>
        </w:rPr>
      </w:pPr>
      <w:r>
        <w:t>Le titrage conductimétrique permet de repérer le volume équivalent en mesurant les variations de la conductivité du milieu réactionnel</w:t>
      </w:r>
      <w:r w:rsidR="003F5471">
        <w:t>.</w:t>
      </w:r>
    </w:p>
    <w:p w:rsidR="00B86F15" w:rsidRDefault="00B86F15" w:rsidP="00B86F15">
      <w:pPr>
        <w:pStyle w:val="Texte"/>
      </w:pPr>
    </w:p>
    <w:p w:rsidR="00B86F15" w:rsidRPr="00726B7E" w:rsidRDefault="00B86F15" w:rsidP="00726B7E">
      <w:pPr>
        <w:pStyle w:val="Sansinterligne"/>
        <w:numPr>
          <w:ilvl w:val="0"/>
          <w:numId w:val="13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 w:rsidRPr="00726B7E">
        <w:rPr>
          <w:rFonts w:ascii="Talking to the Moon" w:hAnsi="Talking to the Moon"/>
          <w:color w:val="C00000"/>
          <w:u w:val="single"/>
          <w:lang w:val="fr-CH"/>
        </w:rPr>
        <w:t>Déterminer la concentration de la solution titrée</w:t>
      </w:r>
    </w:p>
    <w:p w:rsidR="00B86F15" w:rsidRPr="00E1177D" w:rsidRDefault="00726B7E" w:rsidP="00B86F15">
      <w:pPr>
        <w:pStyle w:val="Texte"/>
        <w:rPr>
          <w:rFonts w:asciiTheme="minorHAnsi" w:hAnsiTheme="minorHAnsi"/>
        </w:rPr>
      </w:pPr>
      <w:r>
        <w:t>On considère</w:t>
      </w:r>
      <w:r w:rsidR="00B86F15">
        <w:t xml:space="preserve"> la réaction de titrage suivante : </w:t>
      </w:r>
      <w:proofErr w:type="spellStart"/>
      <w:r w:rsidR="00B86F15" w:rsidRPr="00726B7E">
        <w:rPr>
          <w:color w:val="FF0000"/>
        </w:rPr>
        <w:t>aA</w:t>
      </w:r>
      <w:proofErr w:type="spellEnd"/>
      <w:r w:rsidR="00B86F15" w:rsidRPr="00726B7E">
        <w:rPr>
          <w:color w:val="FF0000"/>
          <w:vertAlign w:val="subscript"/>
        </w:rPr>
        <w:t>(aq)</w:t>
      </w:r>
      <w:r w:rsidR="00B86F15" w:rsidRPr="00726B7E">
        <w:rPr>
          <w:color w:val="FF0000"/>
        </w:rPr>
        <w:t xml:space="preserve"> </w:t>
      </w:r>
      <w:r w:rsidR="00B86F15">
        <w:t xml:space="preserve">+ </w:t>
      </w:r>
      <w:proofErr w:type="spellStart"/>
      <w:r w:rsidR="00B86F15" w:rsidRPr="00726B7E">
        <w:rPr>
          <w:color w:val="00B0F0"/>
        </w:rPr>
        <w:t>b</w:t>
      </w:r>
      <w:r w:rsidR="00B86F15" w:rsidRPr="00726B7E">
        <w:rPr>
          <w:rFonts w:asciiTheme="minorHAnsi" w:hAnsiTheme="minorHAnsi"/>
          <w:color w:val="00B0F0"/>
        </w:rPr>
        <w:t>B</w:t>
      </w:r>
      <w:proofErr w:type="spellEnd"/>
      <w:r w:rsidR="00B86F15" w:rsidRPr="00726B7E">
        <w:rPr>
          <w:rFonts w:asciiTheme="minorHAnsi" w:hAnsiTheme="minorHAnsi"/>
          <w:color w:val="00B0F0"/>
          <w:vertAlign w:val="subscript"/>
        </w:rPr>
        <w:t>(aq)</w:t>
      </w:r>
      <w:r w:rsidR="00B86F15" w:rsidRPr="00726B7E">
        <w:rPr>
          <w:rFonts w:asciiTheme="minorHAnsi" w:hAnsiTheme="minorHAnsi"/>
          <w:color w:val="00B0F0"/>
        </w:rPr>
        <w:t xml:space="preserve"> </w:t>
      </w:r>
      <w:r w:rsidR="00B86F15" w:rsidRPr="00641B31">
        <w:sym w:font="Symbol" w:char="F0AE"/>
      </w:r>
      <w:r w:rsidR="00B86F15">
        <w:t xml:space="preserve"> </w:t>
      </w:r>
      <w:proofErr w:type="spellStart"/>
      <w:r w:rsidR="00B86F15">
        <w:t>cC</w:t>
      </w:r>
      <w:proofErr w:type="spellEnd"/>
      <w:r w:rsidR="00B86F15">
        <w:rPr>
          <w:vertAlign w:val="subscript"/>
        </w:rPr>
        <w:t>(aq)</w:t>
      </w:r>
      <w:r w:rsidR="00B86F15">
        <w:t xml:space="preserve"> + </w:t>
      </w:r>
      <w:proofErr w:type="spellStart"/>
      <w:r w:rsidR="00B86F15">
        <w:t>dD</w:t>
      </w:r>
      <w:proofErr w:type="spellEnd"/>
      <w:r w:rsidR="00B86F15">
        <w:rPr>
          <w:vertAlign w:val="subscript"/>
        </w:rPr>
        <w:t>(aq)</w:t>
      </w:r>
      <w:r w:rsidR="00A94709">
        <w:t xml:space="preserve"> (avec </w:t>
      </w:r>
      <w:r w:rsidR="00A94709" w:rsidRPr="00A94709">
        <w:rPr>
          <w:color w:val="FF0000"/>
        </w:rPr>
        <w:t>A</w:t>
      </w:r>
      <w:r w:rsidR="00A94709">
        <w:t xml:space="preserve"> l’</w:t>
      </w:r>
      <w:r w:rsidR="00A94709" w:rsidRPr="00A94709">
        <w:rPr>
          <w:color w:val="FF0000"/>
        </w:rPr>
        <w:t>espèce titrée</w:t>
      </w:r>
      <w:r w:rsidR="00A94709">
        <w:t xml:space="preserve"> et </w:t>
      </w:r>
      <w:r w:rsidR="00A94709" w:rsidRPr="00A94709">
        <w:rPr>
          <w:color w:val="00B0F0"/>
        </w:rPr>
        <w:t>B</w:t>
      </w:r>
      <w:r w:rsidR="00A94709">
        <w:t xml:space="preserve"> l’</w:t>
      </w:r>
      <w:r w:rsidR="00A94709" w:rsidRPr="00A94709">
        <w:rPr>
          <w:color w:val="00B0F0"/>
        </w:rPr>
        <w:t>espèce titrante</w:t>
      </w:r>
      <w:r w:rsidR="00A94709">
        <w:t>).</w:t>
      </w:r>
    </w:p>
    <w:p w:rsidR="00854FFE" w:rsidRDefault="00B86F15" w:rsidP="00B86F15">
      <w:pPr>
        <w:pStyle w:val="Texte"/>
        <w:jc w:val="left"/>
      </w:pPr>
      <w:r>
        <w:t>Par définition, à l’équivalence, les réactifs sont introduits dans les proportions stœchiométriques. On peut alors écrire :</w:t>
      </w:r>
    </w:p>
    <w:p w:rsidR="00B86F15" w:rsidRDefault="005468E5" w:rsidP="00854FFE">
      <w:pPr>
        <w:pStyle w:val="Texte"/>
        <w:jc w:val="center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b</m:t>
            </m:r>
          </m:den>
        </m:f>
      </m:oMath>
      <w:r w:rsidR="00854FFE">
        <w:rPr>
          <w:b/>
        </w:rPr>
        <w:t xml:space="preserve"> </w:t>
      </w:r>
      <w:r w:rsidR="00854FFE" w:rsidRPr="00854FFE">
        <w:rPr>
          <w:bCs/>
        </w:rPr>
        <w:t>soit</w:t>
      </w:r>
      <w:r w:rsidR="00854FFE">
        <w:rPr>
          <w:bCs/>
        </w:rPr>
        <w:t xml:space="preserve"> </w:t>
      </w:r>
      <w:r w:rsidR="00854FFE" w:rsidRPr="00854FFE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E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b</m:t>
            </m:r>
          </m:den>
        </m:f>
      </m:oMath>
    </w:p>
    <w:p w:rsidR="00A5213F" w:rsidRPr="000E1E60" w:rsidRDefault="00854FFE" w:rsidP="00854FFE">
      <w:pPr>
        <w:pStyle w:val="Sansinterligne"/>
      </w:pPr>
      <w:r w:rsidRPr="000E1E60">
        <w:t xml:space="preserve">La concentration </w:t>
      </w:r>
      <w:proofErr w:type="spellStart"/>
      <w:proofErr w:type="gramStart"/>
      <w:r w:rsidRPr="000E1E60">
        <w:rPr>
          <w:color w:val="FF0000"/>
        </w:rPr>
        <w:t>c</w:t>
      </w:r>
      <w:r w:rsidRPr="000E1E60">
        <w:rPr>
          <w:color w:val="FF0000"/>
          <w:vertAlign w:val="subscript"/>
        </w:rPr>
        <w:t>A</w:t>
      </w:r>
      <w:proofErr w:type="spellEnd"/>
      <w:proofErr w:type="gramEnd"/>
      <w:r w:rsidRPr="000E1E60">
        <w:rPr>
          <w:color w:val="FF0000"/>
        </w:rPr>
        <w:t xml:space="preserve"> </w:t>
      </w:r>
      <w:r w:rsidRPr="000E1E60">
        <w:t>du</w:t>
      </w:r>
      <w:r w:rsidRPr="000E1E60">
        <w:rPr>
          <w:color w:val="FF0000"/>
        </w:rPr>
        <w:t xml:space="preserve"> réactif titré</w:t>
      </w:r>
      <w:r w:rsidRPr="000E1E60">
        <w:t xml:space="preserve"> recherchée peut donc être calculée à l’aide de la relation suivante :</w:t>
      </w:r>
    </w:p>
    <w:p w:rsidR="00854FFE" w:rsidRPr="000E1E60" w:rsidRDefault="005468E5" w:rsidP="00854FFE">
      <w:pPr>
        <w:pStyle w:val="Sansinterligne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/>
                  <w:color w:val="00B0F0"/>
                </w:rPr>
                <m:t>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00B0F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</m:den>
          </m:f>
        </m:oMath>
      </m:oMathPara>
    </w:p>
    <w:p w:rsidR="00915C44" w:rsidRDefault="00915C44" w:rsidP="00915C44">
      <w:pPr>
        <w:pStyle w:val="Texte"/>
        <w:rPr>
          <w:i/>
          <w:iCs/>
          <w:color w:val="7F7F7F" w:themeColor="text1" w:themeTint="80"/>
          <w:sz w:val="22"/>
          <w:szCs w:val="21"/>
        </w:rPr>
      </w:pPr>
    </w:p>
    <w:p w:rsidR="008678EA" w:rsidRPr="008678EA" w:rsidRDefault="00915C44" w:rsidP="008678EA">
      <w:pPr>
        <w:pStyle w:val="Texte"/>
        <w:rPr>
          <w:i/>
          <w:iCs/>
          <w:color w:val="7F7F7F" w:themeColor="text1" w:themeTint="80"/>
          <w:sz w:val="22"/>
          <w:szCs w:val="21"/>
        </w:rPr>
      </w:pPr>
      <w:r w:rsidRPr="003F68D5">
        <w:rPr>
          <w:i/>
          <w:iCs/>
          <w:color w:val="7F7F7F" w:themeColor="text1" w:themeTint="80"/>
          <w:sz w:val="22"/>
          <w:szCs w:val="21"/>
        </w:rPr>
        <w:t xml:space="preserve">Exemple : </w:t>
      </w:r>
      <w:r w:rsidR="008678EA">
        <w:rPr>
          <w:i/>
          <w:iCs/>
          <w:color w:val="7F7F7F" w:themeColor="text1" w:themeTint="80"/>
          <w:sz w:val="22"/>
          <w:szCs w:val="21"/>
        </w:rPr>
        <w:t>Reprenons</w:t>
      </w:r>
      <w:r>
        <w:rPr>
          <w:i/>
          <w:iCs/>
          <w:color w:val="7F7F7F" w:themeColor="text1" w:themeTint="80"/>
          <w:sz w:val="22"/>
          <w:szCs w:val="21"/>
        </w:rPr>
        <w:t xml:space="preserve"> le </w:t>
      </w:r>
      <w:r w:rsidR="008678EA">
        <w:rPr>
          <w:i/>
          <w:iCs/>
          <w:color w:val="7F7F7F" w:themeColor="text1" w:themeTint="80"/>
          <w:sz w:val="22"/>
          <w:szCs w:val="21"/>
        </w:rPr>
        <w:t>titrage</w:t>
      </w:r>
      <w:r w:rsidRPr="003F68D5">
        <w:rPr>
          <w:i/>
          <w:iCs/>
          <w:color w:val="7F7F7F" w:themeColor="text1" w:themeTint="80"/>
          <w:sz w:val="22"/>
          <w:szCs w:val="21"/>
        </w:rPr>
        <w:t xml:space="preserve"> du diiode </w:t>
      </w:r>
      <w:r w:rsidRPr="003F68D5">
        <w:rPr>
          <w:i/>
          <w:iCs/>
          <w:color w:val="FF0000"/>
          <w:sz w:val="22"/>
          <w:szCs w:val="21"/>
        </w:rPr>
        <w:t>I</w:t>
      </w:r>
      <w:r w:rsidRPr="003F68D5">
        <w:rPr>
          <w:i/>
          <w:iCs/>
          <w:color w:val="FF0000"/>
          <w:sz w:val="22"/>
          <w:szCs w:val="21"/>
          <w:vertAlign w:val="subscript"/>
        </w:rPr>
        <w:t>2 (aq)</w:t>
      </w:r>
      <w:r w:rsidRPr="003F68D5">
        <w:rPr>
          <w:i/>
          <w:iCs/>
          <w:color w:val="FF0000"/>
          <w:sz w:val="22"/>
          <w:szCs w:val="21"/>
        </w:rPr>
        <w:t xml:space="preserve"> </w:t>
      </w:r>
      <w:r w:rsidRPr="003F68D5">
        <w:rPr>
          <w:i/>
          <w:iCs/>
          <w:color w:val="7F7F7F" w:themeColor="text1" w:themeTint="80"/>
          <w:sz w:val="22"/>
          <w:szCs w:val="21"/>
        </w:rPr>
        <w:t xml:space="preserve">par les ions thiosulfate </w:t>
      </w:r>
      <w:r w:rsidRPr="003F68D5">
        <w:rPr>
          <w:i/>
          <w:iCs/>
          <w:color w:val="00B0F0"/>
          <w:sz w:val="22"/>
          <w:szCs w:val="21"/>
        </w:rPr>
        <w:t>S</w:t>
      </w:r>
      <w:r w:rsidRPr="003F68D5">
        <w:rPr>
          <w:i/>
          <w:iCs/>
          <w:color w:val="00B0F0"/>
          <w:sz w:val="22"/>
          <w:szCs w:val="21"/>
          <w:vertAlign w:val="subscript"/>
        </w:rPr>
        <w:t>2</w:t>
      </w:r>
      <w:r w:rsidRPr="003F68D5">
        <w:rPr>
          <w:i/>
          <w:iCs/>
          <w:color w:val="00B0F0"/>
          <w:sz w:val="22"/>
          <w:szCs w:val="21"/>
        </w:rPr>
        <w:t>O</w:t>
      </w:r>
      <w:r w:rsidRPr="003F68D5">
        <w:rPr>
          <w:i/>
          <w:iCs/>
          <w:color w:val="00B0F0"/>
          <w:sz w:val="22"/>
          <w:szCs w:val="21"/>
          <w:vertAlign w:val="subscript"/>
        </w:rPr>
        <w:t>3</w:t>
      </w:r>
      <w:r w:rsidRPr="003F68D5">
        <w:rPr>
          <w:i/>
          <w:iCs/>
          <w:color w:val="00B0F0"/>
          <w:sz w:val="22"/>
          <w:szCs w:val="21"/>
          <w:vertAlign w:val="superscript"/>
        </w:rPr>
        <w:t>2-</w:t>
      </w:r>
      <w:r w:rsidRPr="003F68D5">
        <w:rPr>
          <w:i/>
          <w:iCs/>
          <w:color w:val="00B0F0"/>
          <w:sz w:val="22"/>
          <w:szCs w:val="21"/>
          <w:vertAlign w:val="subscript"/>
        </w:rPr>
        <w:t>(aq)</w:t>
      </w:r>
      <w:r w:rsidR="008678EA">
        <w:rPr>
          <w:i/>
          <w:iCs/>
          <w:color w:val="7F7F7F" w:themeColor="text1" w:themeTint="80"/>
          <w:sz w:val="22"/>
          <w:szCs w:val="21"/>
        </w:rPr>
        <w:t xml:space="preserve"> dont l’équation de la réaction support du titrage est </w:t>
      </w:r>
      <w:r w:rsidR="008678EA" w:rsidRPr="008678EA">
        <w:rPr>
          <w:i/>
          <w:iCs/>
          <w:color w:val="FF0000"/>
          <w:sz w:val="22"/>
          <w:szCs w:val="21"/>
        </w:rPr>
        <w:t>I</w:t>
      </w:r>
      <w:r w:rsidR="008678EA" w:rsidRPr="008678EA">
        <w:rPr>
          <w:i/>
          <w:iCs/>
          <w:color w:val="FF0000"/>
          <w:sz w:val="22"/>
          <w:szCs w:val="21"/>
          <w:vertAlign w:val="subscript"/>
        </w:rPr>
        <w:t>2 (aq)</w:t>
      </w:r>
      <w:r w:rsidR="008678EA" w:rsidRPr="008678EA">
        <w:rPr>
          <w:i/>
          <w:iCs/>
          <w:color w:val="FF0000"/>
          <w:sz w:val="22"/>
          <w:szCs w:val="21"/>
        </w:rPr>
        <w:t xml:space="preserve"> </w:t>
      </w:r>
      <w:r w:rsidR="008678EA" w:rsidRPr="008678EA">
        <w:rPr>
          <w:i/>
          <w:iCs/>
          <w:color w:val="7F7F7F" w:themeColor="text1" w:themeTint="80"/>
          <w:sz w:val="22"/>
          <w:szCs w:val="21"/>
        </w:rPr>
        <w:t xml:space="preserve">+ </w:t>
      </w:r>
      <w:r w:rsidR="008678EA" w:rsidRPr="008678EA">
        <w:rPr>
          <w:i/>
          <w:iCs/>
          <w:color w:val="00B0F0"/>
          <w:sz w:val="22"/>
          <w:szCs w:val="21"/>
        </w:rPr>
        <w:t>2</w:t>
      </w:r>
      <w:r w:rsidR="008678EA" w:rsidRPr="008678EA">
        <w:rPr>
          <w:i/>
          <w:iCs/>
          <w:color w:val="7F7F7F" w:themeColor="text1" w:themeTint="80"/>
          <w:sz w:val="22"/>
          <w:szCs w:val="21"/>
        </w:rPr>
        <w:t xml:space="preserve"> </w:t>
      </w:r>
      <w:r w:rsidR="008678EA" w:rsidRPr="008678EA">
        <w:rPr>
          <w:i/>
          <w:iCs/>
          <w:color w:val="00B0F0"/>
          <w:sz w:val="22"/>
          <w:szCs w:val="21"/>
        </w:rPr>
        <w:t>S</w:t>
      </w:r>
      <w:r w:rsidR="008678EA" w:rsidRPr="008678EA">
        <w:rPr>
          <w:i/>
          <w:iCs/>
          <w:color w:val="00B0F0"/>
          <w:sz w:val="22"/>
          <w:szCs w:val="21"/>
          <w:vertAlign w:val="subscript"/>
        </w:rPr>
        <w:t>2</w:t>
      </w:r>
      <w:r w:rsidR="008678EA" w:rsidRPr="008678EA">
        <w:rPr>
          <w:i/>
          <w:iCs/>
          <w:color w:val="00B0F0"/>
          <w:sz w:val="22"/>
          <w:szCs w:val="21"/>
        </w:rPr>
        <w:t>O</w:t>
      </w:r>
      <w:r w:rsidR="008678EA" w:rsidRPr="008678EA">
        <w:rPr>
          <w:i/>
          <w:iCs/>
          <w:color w:val="00B0F0"/>
          <w:sz w:val="22"/>
          <w:szCs w:val="21"/>
          <w:vertAlign w:val="subscript"/>
        </w:rPr>
        <w:t>3</w:t>
      </w:r>
      <w:r w:rsidR="008678EA" w:rsidRPr="008678EA">
        <w:rPr>
          <w:i/>
          <w:iCs/>
          <w:color w:val="00B0F0"/>
          <w:sz w:val="22"/>
          <w:szCs w:val="21"/>
          <w:vertAlign w:val="superscript"/>
        </w:rPr>
        <w:t>2-</w:t>
      </w:r>
      <w:r w:rsidR="008678EA" w:rsidRPr="008678EA">
        <w:rPr>
          <w:i/>
          <w:iCs/>
          <w:color w:val="00B0F0"/>
          <w:sz w:val="22"/>
          <w:szCs w:val="21"/>
          <w:vertAlign w:val="subscript"/>
        </w:rPr>
        <w:t>(aq)</w:t>
      </w:r>
      <w:r w:rsidR="008678EA" w:rsidRPr="008678EA">
        <w:rPr>
          <w:i/>
          <w:iCs/>
          <w:color w:val="7F7F7F" w:themeColor="text1" w:themeTint="80"/>
          <w:sz w:val="22"/>
          <w:szCs w:val="21"/>
        </w:rPr>
        <w:t xml:space="preserve"> </w:t>
      </w:r>
      <w:r w:rsidR="008678EA" w:rsidRPr="003F68D5">
        <w:rPr>
          <w:i/>
          <w:iCs/>
          <w:color w:val="7F7F7F" w:themeColor="text1" w:themeTint="80"/>
          <w:sz w:val="22"/>
          <w:szCs w:val="21"/>
          <w:lang w:val="en-US"/>
        </w:rPr>
        <w:sym w:font="Symbol" w:char="F0AE"/>
      </w:r>
      <w:r w:rsidR="008678EA" w:rsidRPr="008678EA">
        <w:rPr>
          <w:i/>
          <w:iCs/>
          <w:color w:val="7F7F7F" w:themeColor="text1" w:themeTint="80"/>
          <w:sz w:val="22"/>
          <w:szCs w:val="21"/>
        </w:rPr>
        <w:t xml:space="preserve"> </w:t>
      </w:r>
      <w:r w:rsidR="008678EA" w:rsidRPr="008678EA">
        <w:rPr>
          <w:i/>
          <w:iCs/>
          <w:color w:val="92D050"/>
          <w:sz w:val="22"/>
          <w:szCs w:val="21"/>
        </w:rPr>
        <w:t>2 I</w:t>
      </w:r>
      <w:r w:rsidR="008678EA" w:rsidRPr="008678EA">
        <w:rPr>
          <w:i/>
          <w:iCs/>
          <w:color w:val="92D050"/>
          <w:sz w:val="22"/>
          <w:szCs w:val="21"/>
          <w:vertAlign w:val="superscript"/>
        </w:rPr>
        <w:t>-</w:t>
      </w:r>
      <w:r w:rsidR="008678EA" w:rsidRPr="008678EA">
        <w:rPr>
          <w:i/>
          <w:iCs/>
          <w:color w:val="92D050"/>
          <w:sz w:val="22"/>
          <w:szCs w:val="21"/>
          <w:vertAlign w:val="subscript"/>
        </w:rPr>
        <w:t>(aq)</w:t>
      </w:r>
      <w:r w:rsidR="008678EA" w:rsidRPr="008678EA">
        <w:rPr>
          <w:i/>
          <w:iCs/>
          <w:color w:val="92D050"/>
          <w:sz w:val="22"/>
          <w:szCs w:val="21"/>
        </w:rPr>
        <w:t xml:space="preserve"> </w:t>
      </w:r>
      <w:r w:rsidR="008678EA" w:rsidRPr="008678EA">
        <w:rPr>
          <w:i/>
          <w:iCs/>
          <w:color w:val="7F7F7F" w:themeColor="text1" w:themeTint="80"/>
          <w:sz w:val="22"/>
          <w:szCs w:val="21"/>
        </w:rPr>
        <w:t xml:space="preserve">+ </w:t>
      </w:r>
      <w:r w:rsidR="008678EA" w:rsidRPr="008678EA">
        <w:rPr>
          <w:i/>
          <w:iCs/>
          <w:color w:val="7030A0"/>
          <w:sz w:val="22"/>
          <w:szCs w:val="21"/>
        </w:rPr>
        <w:t>S</w:t>
      </w:r>
      <w:r w:rsidR="008678EA" w:rsidRPr="008678EA">
        <w:rPr>
          <w:i/>
          <w:iCs/>
          <w:color w:val="7030A0"/>
          <w:sz w:val="22"/>
          <w:szCs w:val="21"/>
          <w:vertAlign w:val="subscript"/>
        </w:rPr>
        <w:t>4</w:t>
      </w:r>
      <w:r w:rsidR="008678EA" w:rsidRPr="008678EA">
        <w:rPr>
          <w:i/>
          <w:iCs/>
          <w:color w:val="7030A0"/>
          <w:sz w:val="22"/>
          <w:szCs w:val="21"/>
        </w:rPr>
        <w:t>O</w:t>
      </w:r>
      <w:r w:rsidR="008678EA" w:rsidRPr="008678EA">
        <w:rPr>
          <w:i/>
          <w:iCs/>
          <w:color w:val="7030A0"/>
          <w:sz w:val="22"/>
          <w:szCs w:val="21"/>
          <w:vertAlign w:val="subscript"/>
        </w:rPr>
        <w:t>6</w:t>
      </w:r>
      <w:r w:rsidR="008678EA" w:rsidRPr="008678EA">
        <w:rPr>
          <w:i/>
          <w:iCs/>
          <w:color w:val="7030A0"/>
          <w:sz w:val="22"/>
          <w:szCs w:val="21"/>
          <w:vertAlign w:val="superscript"/>
        </w:rPr>
        <w:t>2-</w:t>
      </w:r>
      <w:r w:rsidR="008678EA" w:rsidRPr="008678EA">
        <w:rPr>
          <w:i/>
          <w:iCs/>
          <w:color w:val="7030A0"/>
          <w:sz w:val="22"/>
          <w:szCs w:val="21"/>
          <w:vertAlign w:val="subscript"/>
        </w:rPr>
        <w:t>(aq)</w:t>
      </w:r>
      <w:r w:rsidR="008678EA">
        <w:rPr>
          <w:i/>
          <w:iCs/>
          <w:color w:val="7F7F7F" w:themeColor="text1" w:themeTint="80"/>
          <w:sz w:val="22"/>
          <w:szCs w:val="21"/>
        </w:rPr>
        <w:t>.</w:t>
      </w:r>
    </w:p>
    <w:p w:rsidR="00915C44" w:rsidRPr="003F68D5" w:rsidRDefault="008678EA" w:rsidP="00915C44">
      <w:pPr>
        <w:pStyle w:val="Texte"/>
        <w:rPr>
          <w:i/>
          <w:iCs/>
          <w:color w:val="7F7F7F" w:themeColor="text1" w:themeTint="80"/>
          <w:sz w:val="22"/>
          <w:szCs w:val="21"/>
        </w:rPr>
      </w:pPr>
      <w:r>
        <w:rPr>
          <w:i/>
          <w:iCs/>
          <w:color w:val="7F7F7F" w:themeColor="text1" w:themeTint="80"/>
          <w:sz w:val="22"/>
          <w:szCs w:val="21"/>
        </w:rPr>
        <w:t>O</w:t>
      </w:r>
      <w:r w:rsidR="00915C44">
        <w:rPr>
          <w:i/>
          <w:iCs/>
          <w:color w:val="7F7F7F" w:themeColor="text1" w:themeTint="80"/>
          <w:sz w:val="22"/>
          <w:szCs w:val="21"/>
        </w:rPr>
        <w:t>n a, à l’équivalence</w:t>
      </w:r>
      <w:r w:rsidR="00915C44" w:rsidRPr="00915C44">
        <w:rPr>
          <w:i/>
          <w:iCs/>
          <w:color w:val="7F7F7F" w:themeColor="text1" w:themeTint="80"/>
          <w:sz w:val="22"/>
          <w:szCs w:val="21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color w:val="7F7F7F" w:themeColor="text1" w:themeTint="8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7F7F7F" w:themeColor="text1" w:themeTint="8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F7F7F" w:themeColor="text1" w:themeTint="8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F7F7F" w:themeColor="text1" w:themeTint="80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7F7F7F" w:themeColor="text1" w:themeTint="80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7F7F7F" w:themeColor="text1" w:themeTint="80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color w:val="7F7F7F" w:themeColor="text1" w:themeTint="8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7F7F7F" w:themeColor="text1" w:themeTint="8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7F7F7F" w:themeColor="text1" w:themeTint="8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F7F7F" w:themeColor="text1" w:themeTint="8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F7F7F" w:themeColor="text1" w:themeTint="80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7F7F7F" w:themeColor="text1" w:themeTint="80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B0F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</w:rPr>
                      <m:t>3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2-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7F7F7F" w:themeColor="text1" w:themeTint="80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den>
        </m:f>
      </m:oMath>
    </w:p>
    <w:p w:rsidR="000E1E60" w:rsidRPr="00725AB9" w:rsidRDefault="000E1E60" w:rsidP="000E1E60">
      <w:pPr>
        <w:pStyle w:val="Sansinterligne"/>
      </w:pPr>
    </w:p>
    <w:p w:rsidR="005F1E9A" w:rsidRPr="00B86F15" w:rsidRDefault="005F1E9A" w:rsidP="004A2B1D">
      <w:pPr>
        <w:jc w:val="right"/>
        <w:rPr>
          <w:color w:val="FF9300"/>
        </w:rPr>
      </w:pPr>
    </w:p>
    <w:p w:rsidR="004A2B1D" w:rsidRDefault="004A2B1D" w:rsidP="004A2B1D">
      <w:pPr>
        <w:jc w:val="right"/>
        <w:rPr>
          <w:color w:val="FF9300"/>
          <w:lang w:val="fr-CH"/>
        </w:rPr>
      </w:pPr>
      <w:r>
        <w:rPr>
          <w:color w:val="FF9300"/>
          <w:lang w:val="fr-CH"/>
        </w:rPr>
        <w:t xml:space="preserve">Ex : </w:t>
      </w:r>
      <w:r w:rsidR="00EE69E3">
        <w:rPr>
          <w:color w:val="FF9300"/>
          <w:lang w:val="fr-CH"/>
        </w:rPr>
        <w:t>9, 12, 15, 27, 32</w:t>
      </w:r>
      <w:r w:rsidR="005E2366">
        <w:rPr>
          <w:color w:val="FF9300"/>
          <w:lang w:val="fr-CH"/>
        </w:rPr>
        <w:t xml:space="preserve"> </w:t>
      </w:r>
      <w:r w:rsidR="00357369">
        <w:rPr>
          <w:color w:val="FF9300"/>
          <w:lang w:val="fr-CH"/>
        </w:rPr>
        <w:t xml:space="preserve">p </w:t>
      </w:r>
      <w:r w:rsidR="00EE69E3">
        <w:rPr>
          <w:color w:val="FF9300"/>
          <w:lang w:val="fr-CH"/>
        </w:rPr>
        <w:t>93</w:t>
      </w:r>
      <w:r w:rsidR="00357369">
        <w:rPr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DE4492">
        <w:rPr>
          <w:i/>
          <w:iCs/>
          <w:color w:val="FF9300"/>
          <w:lang w:val="fr-CH"/>
        </w:rPr>
        <w:t xml:space="preserve"> </w:t>
      </w:r>
      <w:r w:rsidR="00EE69E3">
        <w:rPr>
          <w:i/>
          <w:iCs/>
          <w:color w:val="FF9300"/>
          <w:lang w:val="fr-CH"/>
        </w:rPr>
        <w:t>99</w:t>
      </w:r>
    </w:p>
    <w:p w:rsidR="00E54E35" w:rsidRDefault="00E54E35" w:rsidP="004A2B1D">
      <w:pPr>
        <w:jc w:val="right"/>
        <w:rPr>
          <w:i/>
          <w:iCs/>
          <w:color w:val="FF9300"/>
          <w:lang w:val="fr-CH"/>
        </w:rPr>
      </w:pPr>
      <w:r w:rsidRPr="00E54E35">
        <w:rPr>
          <w:i/>
          <w:iCs/>
          <w:color w:val="FF9300"/>
          <w:lang w:val="fr-CH"/>
        </w:rPr>
        <w:t xml:space="preserve">Ex supplémentaires : </w:t>
      </w:r>
      <w:r w:rsidR="00EF1CFA">
        <w:rPr>
          <w:i/>
          <w:iCs/>
          <w:color w:val="FF9300"/>
          <w:lang w:val="fr-CH"/>
        </w:rPr>
        <w:t>1</w:t>
      </w:r>
      <w:r w:rsidR="00EE69E3">
        <w:rPr>
          <w:i/>
          <w:iCs/>
          <w:color w:val="FF9300"/>
          <w:lang w:val="fr-CH"/>
        </w:rPr>
        <w:t>3</w:t>
      </w:r>
      <w:r w:rsidR="00EF1CFA">
        <w:rPr>
          <w:i/>
          <w:iCs/>
          <w:color w:val="FF9300"/>
          <w:lang w:val="fr-CH"/>
        </w:rPr>
        <w:t>,</w:t>
      </w:r>
      <w:r w:rsidR="00EE69E3">
        <w:rPr>
          <w:i/>
          <w:iCs/>
          <w:color w:val="FF9300"/>
          <w:lang w:val="fr-CH"/>
        </w:rPr>
        <w:t xml:space="preserve"> 14</w:t>
      </w:r>
      <w:r w:rsidR="00EF1CFA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t>(</w:t>
      </w:r>
      <w:r w:rsidR="00D71D73">
        <w:rPr>
          <w:i/>
          <w:iCs/>
          <w:color w:val="FF9300"/>
          <w:lang w:val="fr-CH"/>
        </w:rPr>
        <w:t>1</w:t>
      </w:r>
      <w:r w:rsidR="00EE69E3">
        <w:rPr>
          <w:i/>
          <w:iCs/>
          <w:color w:val="FF9300"/>
          <w:lang w:val="fr-CH"/>
        </w:rPr>
        <w:t>7</w:t>
      </w:r>
      <w:r w:rsidR="0031309D">
        <w:rPr>
          <w:i/>
          <w:iCs/>
          <w:color w:val="FF9300"/>
          <w:lang w:val="fr-CH"/>
        </w:rPr>
        <w:t xml:space="preserve">, </w:t>
      </w:r>
      <w:r w:rsidR="00D71D73">
        <w:rPr>
          <w:i/>
          <w:iCs/>
          <w:color w:val="FF9300"/>
          <w:lang w:val="fr-CH"/>
        </w:rPr>
        <w:t>1</w:t>
      </w:r>
      <w:r w:rsidR="00EE69E3">
        <w:rPr>
          <w:i/>
          <w:iCs/>
          <w:color w:val="FF9300"/>
          <w:lang w:val="fr-CH"/>
        </w:rPr>
        <w:t>8</w:t>
      </w:r>
      <w:r w:rsidR="0031309D">
        <w:rPr>
          <w:i/>
          <w:iCs/>
          <w:color w:val="FF9300"/>
          <w:lang w:val="fr-CH"/>
        </w:rPr>
        <w:t xml:space="preserve"> ou </w:t>
      </w:r>
      <w:r w:rsidR="00D71D73">
        <w:rPr>
          <w:i/>
          <w:iCs/>
          <w:color w:val="FF9300"/>
          <w:lang w:val="fr-CH"/>
        </w:rPr>
        <w:t>1</w:t>
      </w:r>
      <w:r w:rsidR="00EE69E3">
        <w:rPr>
          <w:i/>
          <w:iCs/>
          <w:color w:val="FF9300"/>
          <w:lang w:val="fr-CH"/>
        </w:rPr>
        <w:t>9</w:t>
      </w:r>
      <w:r w:rsidR="00357369">
        <w:rPr>
          <w:i/>
          <w:iCs/>
          <w:color w:val="FF9300"/>
          <w:lang w:val="fr-CH"/>
        </w:rPr>
        <w:t xml:space="preserve">), </w:t>
      </w:r>
      <w:r w:rsidR="00EE69E3">
        <w:rPr>
          <w:i/>
          <w:iCs/>
          <w:color w:val="FF9300"/>
          <w:lang w:val="fr-CH"/>
        </w:rPr>
        <w:t>20</w:t>
      </w:r>
      <w:r w:rsidR="00D71D73">
        <w:rPr>
          <w:i/>
          <w:iCs/>
          <w:color w:val="FF9300"/>
          <w:lang w:val="fr-CH"/>
        </w:rPr>
        <w:t>, 2</w:t>
      </w:r>
      <w:r w:rsidR="00EE69E3">
        <w:rPr>
          <w:i/>
          <w:iCs/>
          <w:color w:val="FF9300"/>
          <w:lang w:val="fr-CH"/>
        </w:rPr>
        <w:t>4</w:t>
      </w:r>
      <w:r w:rsidR="00D71D73">
        <w:rPr>
          <w:i/>
          <w:iCs/>
          <w:color w:val="FF9300"/>
          <w:lang w:val="fr-CH"/>
        </w:rPr>
        <w:t>, 2</w:t>
      </w:r>
      <w:r w:rsidR="00EE69E3">
        <w:rPr>
          <w:i/>
          <w:iCs/>
          <w:color w:val="FF9300"/>
          <w:lang w:val="fr-CH"/>
        </w:rPr>
        <w:t>6</w:t>
      </w:r>
      <w:r w:rsidR="00D71D73">
        <w:rPr>
          <w:i/>
          <w:iCs/>
          <w:color w:val="FF9300"/>
          <w:lang w:val="fr-CH"/>
        </w:rPr>
        <w:t>, 3</w:t>
      </w:r>
      <w:r w:rsidR="00EE69E3">
        <w:rPr>
          <w:i/>
          <w:iCs/>
          <w:color w:val="FF9300"/>
          <w:lang w:val="fr-CH"/>
        </w:rPr>
        <w:t>0, 31, 33</w:t>
      </w:r>
      <w:r w:rsidR="005E2366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t xml:space="preserve">p </w:t>
      </w:r>
      <w:r w:rsidR="00D71D73">
        <w:rPr>
          <w:i/>
          <w:iCs/>
          <w:color w:val="FF9300"/>
          <w:lang w:val="fr-CH"/>
        </w:rPr>
        <w:t>75</w:t>
      </w:r>
      <w:r w:rsidR="00357369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DE4492">
        <w:rPr>
          <w:i/>
          <w:iCs/>
          <w:color w:val="FF9300"/>
          <w:lang w:val="fr-CH"/>
        </w:rPr>
        <w:t xml:space="preserve"> </w:t>
      </w:r>
      <w:r w:rsidR="00EE69E3">
        <w:rPr>
          <w:i/>
          <w:iCs/>
          <w:color w:val="FF9300"/>
          <w:lang w:val="fr-CH"/>
        </w:rPr>
        <w:t>100</w:t>
      </w:r>
    </w:p>
    <w:p w:rsidR="00A45488" w:rsidRPr="00E54E35" w:rsidRDefault="00A45488" w:rsidP="004A2B1D">
      <w:pPr>
        <w:jc w:val="right"/>
        <w:rPr>
          <w:i/>
          <w:iCs/>
          <w:color w:val="FF9300"/>
          <w:lang w:val="fr-CH"/>
        </w:rPr>
      </w:pPr>
      <w:r>
        <w:rPr>
          <w:i/>
          <w:iCs/>
          <w:color w:val="FF9300"/>
          <w:lang w:val="fr-CH"/>
        </w:rPr>
        <w:t>Sujet bac : 1 p 103</w:t>
      </w:r>
    </w:p>
    <w:p w:rsidR="00C26308" w:rsidRPr="00233150" w:rsidRDefault="00C26308" w:rsidP="00542928">
      <w:pPr>
        <w:pStyle w:val="Sansinterligne"/>
        <w:jc w:val="both"/>
        <w:rPr>
          <w:lang w:val="fr-CH"/>
        </w:rPr>
      </w:pPr>
    </w:p>
    <w:sectPr w:rsidR="00C26308" w:rsidRPr="00233150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68E5" w:rsidRDefault="005468E5" w:rsidP="00CC626C">
      <w:r>
        <w:separator/>
      </w:r>
    </w:p>
  </w:endnote>
  <w:endnote w:type="continuationSeparator" w:id="0">
    <w:p w:rsidR="005468E5" w:rsidRDefault="005468E5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68E5" w:rsidRDefault="005468E5" w:rsidP="00CC626C">
      <w:r>
        <w:separator/>
      </w:r>
    </w:p>
  </w:footnote>
  <w:footnote w:type="continuationSeparator" w:id="0">
    <w:p w:rsidR="005468E5" w:rsidRDefault="005468E5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7D9"/>
    <w:multiLevelType w:val="hybridMultilevel"/>
    <w:tmpl w:val="E90AC226"/>
    <w:lvl w:ilvl="0" w:tplc="6978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901"/>
    <w:multiLevelType w:val="hybridMultilevel"/>
    <w:tmpl w:val="129A2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0FE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4251"/>
    <w:multiLevelType w:val="hybridMultilevel"/>
    <w:tmpl w:val="25AE10F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8D1"/>
    <w:multiLevelType w:val="hybridMultilevel"/>
    <w:tmpl w:val="6398225E"/>
    <w:lvl w:ilvl="0" w:tplc="3ECC8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0EB6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5D8"/>
    <w:multiLevelType w:val="hybridMultilevel"/>
    <w:tmpl w:val="6F4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79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2007"/>
    <w:multiLevelType w:val="hybridMultilevel"/>
    <w:tmpl w:val="E5D48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59C"/>
    <w:multiLevelType w:val="hybridMultilevel"/>
    <w:tmpl w:val="351CC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8A1"/>
    <w:multiLevelType w:val="hybridMultilevel"/>
    <w:tmpl w:val="2814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23982"/>
    <w:rsid w:val="00024812"/>
    <w:rsid w:val="00036A36"/>
    <w:rsid w:val="00043F41"/>
    <w:rsid w:val="00096C4C"/>
    <w:rsid w:val="000B7D26"/>
    <w:rsid w:val="000E1E60"/>
    <w:rsid w:val="000E702A"/>
    <w:rsid w:val="00114BDE"/>
    <w:rsid w:val="001833BD"/>
    <w:rsid w:val="001B2256"/>
    <w:rsid w:val="001C53CB"/>
    <w:rsid w:val="001D346F"/>
    <w:rsid w:val="001F24C1"/>
    <w:rsid w:val="001F60EC"/>
    <w:rsid w:val="00204BFF"/>
    <w:rsid w:val="00215C46"/>
    <w:rsid w:val="00221328"/>
    <w:rsid w:val="00227FC7"/>
    <w:rsid w:val="00233150"/>
    <w:rsid w:val="00242EFE"/>
    <w:rsid w:val="00246D61"/>
    <w:rsid w:val="002C1E26"/>
    <w:rsid w:val="002D104B"/>
    <w:rsid w:val="002F2E7D"/>
    <w:rsid w:val="0031309D"/>
    <w:rsid w:val="00326825"/>
    <w:rsid w:val="003400DF"/>
    <w:rsid w:val="00343C54"/>
    <w:rsid w:val="00357369"/>
    <w:rsid w:val="00361B6E"/>
    <w:rsid w:val="00365C2A"/>
    <w:rsid w:val="003826F8"/>
    <w:rsid w:val="00390ADB"/>
    <w:rsid w:val="00392076"/>
    <w:rsid w:val="003A4856"/>
    <w:rsid w:val="003F08DE"/>
    <w:rsid w:val="003F5471"/>
    <w:rsid w:val="003F68D5"/>
    <w:rsid w:val="0042068A"/>
    <w:rsid w:val="00422439"/>
    <w:rsid w:val="004231F4"/>
    <w:rsid w:val="004356E4"/>
    <w:rsid w:val="00437847"/>
    <w:rsid w:val="004674E0"/>
    <w:rsid w:val="004A01F1"/>
    <w:rsid w:val="004A2B1D"/>
    <w:rsid w:val="004B334A"/>
    <w:rsid w:val="004C2CAA"/>
    <w:rsid w:val="004C39F3"/>
    <w:rsid w:val="004D6E7E"/>
    <w:rsid w:val="00542928"/>
    <w:rsid w:val="005468E5"/>
    <w:rsid w:val="00546C2B"/>
    <w:rsid w:val="00561D02"/>
    <w:rsid w:val="00567C85"/>
    <w:rsid w:val="00592572"/>
    <w:rsid w:val="005B7241"/>
    <w:rsid w:val="005C0784"/>
    <w:rsid w:val="005E2366"/>
    <w:rsid w:val="005F1E9A"/>
    <w:rsid w:val="006270B0"/>
    <w:rsid w:val="00643711"/>
    <w:rsid w:val="00663F1C"/>
    <w:rsid w:val="006B7BA7"/>
    <w:rsid w:val="006C7C78"/>
    <w:rsid w:val="006F6567"/>
    <w:rsid w:val="006F7A20"/>
    <w:rsid w:val="007000D0"/>
    <w:rsid w:val="00725AB9"/>
    <w:rsid w:val="00726B7E"/>
    <w:rsid w:val="00745672"/>
    <w:rsid w:val="00781C7A"/>
    <w:rsid w:val="007A1EFC"/>
    <w:rsid w:val="007B355F"/>
    <w:rsid w:val="007C6F71"/>
    <w:rsid w:val="007E36FC"/>
    <w:rsid w:val="007F234F"/>
    <w:rsid w:val="007F67F5"/>
    <w:rsid w:val="00810029"/>
    <w:rsid w:val="00814C80"/>
    <w:rsid w:val="00854FFE"/>
    <w:rsid w:val="008678EA"/>
    <w:rsid w:val="008A5E92"/>
    <w:rsid w:val="008B0F1C"/>
    <w:rsid w:val="008C2220"/>
    <w:rsid w:val="00915C44"/>
    <w:rsid w:val="0095025E"/>
    <w:rsid w:val="00952792"/>
    <w:rsid w:val="00972A33"/>
    <w:rsid w:val="0098524F"/>
    <w:rsid w:val="009D3124"/>
    <w:rsid w:val="00A346A8"/>
    <w:rsid w:val="00A409B1"/>
    <w:rsid w:val="00A43BEA"/>
    <w:rsid w:val="00A44F0B"/>
    <w:rsid w:val="00A45488"/>
    <w:rsid w:val="00A50FF7"/>
    <w:rsid w:val="00A5213F"/>
    <w:rsid w:val="00A61DC3"/>
    <w:rsid w:val="00A72426"/>
    <w:rsid w:val="00A86DC5"/>
    <w:rsid w:val="00A94709"/>
    <w:rsid w:val="00AC38DF"/>
    <w:rsid w:val="00B568DA"/>
    <w:rsid w:val="00B6381E"/>
    <w:rsid w:val="00B6485D"/>
    <w:rsid w:val="00B7227A"/>
    <w:rsid w:val="00B75B4B"/>
    <w:rsid w:val="00B85744"/>
    <w:rsid w:val="00B86F15"/>
    <w:rsid w:val="00B87251"/>
    <w:rsid w:val="00B97EC0"/>
    <w:rsid w:val="00BB1387"/>
    <w:rsid w:val="00BB3854"/>
    <w:rsid w:val="00BD1F91"/>
    <w:rsid w:val="00BE6693"/>
    <w:rsid w:val="00C26308"/>
    <w:rsid w:val="00C47A87"/>
    <w:rsid w:val="00C57062"/>
    <w:rsid w:val="00C821D1"/>
    <w:rsid w:val="00CC626C"/>
    <w:rsid w:val="00CF1079"/>
    <w:rsid w:val="00CF5C48"/>
    <w:rsid w:val="00D01D9D"/>
    <w:rsid w:val="00D42EEA"/>
    <w:rsid w:val="00D571E4"/>
    <w:rsid w:val="00D71D73"/>
    <w:rsid w:val="00D72D07"/>
    <w:rsid w:val="00D931ED"/>
    <w:rsid w:val="00DE4492"/>
    <w:rsid w:val="00E04705"/>
    <w:rsid w:val="00E10259"/>
    <w:rsid w:val="00E11155"/>
    <w:rsid w:val="00E1432D"/>
    <w:rsid w:val="00E54E35"/>
    <w:rsid w:val="00E73854"/>
    <w:rsid w:val="00E74A32"/>
    <w:rsid w:val="00EC257F"/>
    <w:rsid w:val="00ED23D7"/>
    <w:rsid w:val="00EE2BCD"/>
    <w:rsid w:val="00EE69E3"/>
    <w:rsid w:val="00EF1CFA"/>
    <w:rsid w:val="00F1152F"/>
    <w:rsid w:val="00F16F7F"/>
    <w:rsid w:val="00F44E87"/>
    <w:rsid w:val="00F51D70"/>
    <w:rsid w:val="00F6066E"/>
    <w:rsid w:val="00F93E45"/>
    <w:rsid w:val="00F94BCF"/>
    <w:rsid w:val="00FA7D78"/>
    <w:rsid w:val="00FB23AE"/>
    <w:rsid w:val="00FC3872"/>
    <w:rsid w:val="00FD5502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iPriority w:val="99"/>
    <w:semiHidden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9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25</cp:revision>
  <cp:lastPrinted>2019-11-01T11:19:00Z</cp:lastPrinted>
  <dcterms:created xsi:type="dcterms:W3CDTF">2019-11-01T12:14:00Z</dcterms:created>
  <dcterms:modified xsi:type="dcterms:W3CDTF">2020-09-05T12:33:00Z</dcterms:modified>
</cp:coreProperties>
</file>